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Verdana" w:hAnsi="Verdana" w:eastAsia="宋体" w:cs="Times New Roman"/>
          <w:b/>
          <w:color w:val="000000"/>
          <w:sz w:val="24"/>
          <w:szCs w:val="24"/>
          <w:shd w:val="clear" w:color="auto" w:fill="FFFFFF"/>
        </w:rPr>
      </w:pPr>
      <w:bookmarkStart w:id="0" w:name="_GoBack"/>
      <w:r>
        <w:rPr>
          <w:rFonts w:ascii="Verdana" w:hAnsi="Verdana" w:eastAsia="宋体" w:cs="Times New Roman"/>
          <w:b/>
          <w:color w:val="000000"/>
          <w:sz w:val="24"/>
          <w:szCs w:val="24"/>
          <w:shd w:val="clear" w:color="auto" w:fill="FFFFFF"/>
        </w:rPr>
        <w:t>福州市自来水有限公司</w:t>
      </w:r>
    </w:p>
    <w:p>
      <w:pPr>
        <w:widowControl/>
        <w:jc w:val="center"/>
        <w:rPr>
          <w:rFonts w:ascii="Verdana" w:hAnsi="Verdana" w:eastAsia="宋体" w:cs="Times New Roman"/>
          <w:b/>
          <w:color w:val="000000"/>
          <w:sz w:val="24"/>
          <w:szCs w:val="24"/>
          <w:shd w:val="clear" w:color="auto" w:fill="FFFFFF"/>
        </w:rPr>
      </w:pPr>
      <w:r>
        <w:rPr>
          <w:rFonts w:hint="eastAsia" w:ascii="Verdana" w:hAnsi="Verdana" w:eastAsia="宋体" w:cs="Times New Roman"/>
          <w:b/>
          <w:color w:val="000000"/>
          <w:sz w:val="24"/>
          <w:szCs w:val="24"/>
          <w:shd w:val="clear" w:color="auto" w:fill="FFFFFF"/>
        </w:rPr>
        <w:t>资产证券化项目资金托管、监管银行机构邀请比选</w:t>
      </w:r>
      <w:r>
        <w:rPr>
          <w:rFonts w:ascii="Verdana" w:hAnsi="Verdana" w:eastAsia="宋体" w:cs="Times New Roman"/>
          <w:b/>
          <w:color w:val="000000"/>
          <w:sz w:val="24"/>
          <w:szCs w:val="24"/>
          <w:shd w:val="clear" w:color="auto" w:fill="FFFFFF"/>
        </w:rPr>
        <w:t>方案综合评分表</w:t>
      </w:r>
      <w:bookmarkEnd w:id="0"/>
    </w:p>
    <w:tbl>
      <w:tblPr>
        <w:tblStyle w:val="3"/>
        <w:tblW w:w="144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1"/>
        <w:gridCol w:w="1021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Merge w:val="restart"/>
            <w:vAlign w:val="center"/>
          </w:tcPr>
          <w:p>
            <w:pPr>
              <w:widowControl/>
              <w:adjustRightInd w:val="0"/>
              <w:snapToGrid w:val="0"/>
              <w:jc w:val="center"/>
              <w:rPr>
                <w:rFonts w:ascii="宋体" w:hAnsi="宋体" w:eastAsia="宋体" w:cs="Times New Roman"/>
                <w:b/>
                <w:color w:val="000000"/>
                <w:sz w:val="24"/>
                <w:szCs w:val="24"/>
                <w:shd w:val="clear" w:color="auto" w:fill="FFFFFF"/>
              </w:rPr>
            </w:pPr>
            <w:r>
              <w:rPr>
                <w:rFonts w:hint="eastAsia" w:ascii="宋体" w:hAnsi="宋体" w:eastAsia="宋体" w:cs="Times New Roman"/>
                <w:b/>
                <w:color w:val="000000"/>
                <w:sz w:val="24"/>
                <w:szCs w:val="24"/>
                <w:shd w:val="clear" w:color="auto" w:fill="FFFFFF"/>
              </w:rPr>
              <w:t>项目</w:t>
            </w:r>
          </w:p>
        </w:tc>
        <w:tc>
          <w:tcPr>
            <w:tcW w:w="2401" w:type="dxa"/>
            <w:vMerge w:val="restart"/>
            <w:vAlign w:val="center"/>
          </w:tcPr>
          <w:p>
            <w:pPr>
              <w:widowControl/>
              <w:adjustRightInd w:val="0"/>
              <w:snapToGrid w:val="0"/>
              <w:jc w:val="center"/>
              <w:rPr>
                <w:rFonts w:ascii="宋体" w:hAnsi="宋体" w:eastAsia="宋体" w:cs="Times New Roman"/>
                <w:b/>
                <w:color w:val="000000"/>
                <w:sz w:val="24"/>
                <w:szCs w:val="24"/>
                <w:shd w:val="clear" w:color="auto" w:fill="FFFFFF"/>
              </w:rPr>
            </w:pPr>
            <w:r>
              <w:rPr>
                <w:rFonts w:hint="eastAsia" w:ascii="宋体" w:hAnsi="宋体" w:eastAsia="宋体" w:cs="Times New Roman"/>
                <w:b/>
                <w:color w:val="000000"/>
                <w:sz w:val="24"/>
                <w:szCs w:val="24"/>
                <w:shd w:val="clear" w:color="auto" w:fill="FFFFFF"/>
              </w:rPr>
              <w:t>评分内容</w:t>
            </w:r>
          </w:p>
        </w:tc>
        <w:tc>
          <w:tcPr>
            <w:tcW w:w="10215" w:type="dxa"/>
            <w:vMerge w:val="restart"/>
            <w:vAlign w:val="center"/>
          </w:tcPr>
          <w:p>
            <w:pPr>
              <w:widowControl/>
              <w:adjustRightInd w:val="0"/>
              <w:snapToGrid w:val="0"/>
              <w:jc w:val="center"/>
              <w:rPr>
                <w:rFonts w:ascii="宋体" w:hAnsi="宋体" w:eastAsia="宋体" w:cs="Times New Roman"/>
                <w:b/>
                <w:color w:val="000000"/>
                <w:sz w:val="24"/>
                <w:szCs w:val="24"/>
                <w:shd w:val="clear" w:color="auto" w:fill="FFFFFF"/>
              </w:rPr>
            </w:pPr>
            <w:r>
              <w:rPr>
                <w:rFonts w:hint="eastAsia" w:ascii="宋体" w:hAnsi="宋体" w:eastAsia="宋体" w:cs="Times New Roman"/>
                <w:b/>
                <w:color w:val="000000"/>
                <w:sz w:val="24"/>
                <w:szCs w:val="24"/>
                <w:shd w:val="clear" w:color="auto" w:fill="FFFFFF"/>
              </w:rPr>
              <w:t>评分标准</w:t>
            </w:r>
          </w:p>
        </w:tc>
        <w:tc>
          <w:tcPr>
            <w:tcW w:w="883" w:type="dxa"/>
            <w:vMerge w:val="restart"/>
            <w:vAlign w:val="center"/>
          </w:tcPr>
          <w:p>
            <w:pPr>
              <w:adjustRightInd w:val="0"/>
              <w:snapToGrid w:val="0"/>
              <w:jc w:val="center"/>
              <w:rPr>
                <w:rFonts w:ascii="宋体" w:hAnsi="宋体" w:eastAsia="宋体" w:cs="Times New Roman"/>
                <w:b/>
                <w:color w:val="000000"/>
                <w:sz w:val="24"/>
                <w:szCs w:val="24"/>
                <w:shd w:val="clear" w:color="auto" w:fill="FFFFFF"/>
              </w:rPr>
            </w:pPr>
            <w:r>
              <w:rPr>
                <w:rFonts w:hint="eastAsia" w:ascii="宋体" w:hAnsi="宋体" w:eastAsia="宋体" w:cs="Times New Roman"/>
                <w:b/>
                <w:color w:val="000000"/>
                <w:sz w:val="24"/>
                <w:szCs w:val="24"/>
                <w:shd w:val="clear" w:color="auto" w:fill="FFFFFF"/>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93" w:type="dxa"/>
            <w:vMerge w:val="continue"/>
            <w:vAlign w:val="center"/>
          </w:tcPr>
          <w:p>
            <w:pPr>
              <w:widowControl/>
              <w:adjustRightInd w:val="0"/>
              <w:snapToGrid w:val="0"/>
              <w:jc w:val="center"/>
              <w:rPr>
                <w:rFonts w:ascii="宋体" w:hAnsi="宋体" w:eastAsia="宋体" w:cs="Times New Roman"/>
                <w:b/>
                <w:color w:val="000000"/>
                <w:sz w:val="24"/>
                <w:szCs w:val="24"/>
                <w:shd w:val="clear" w:color="auto" w:fill="FFFFFF"/>
              </w:rPr>
            </w:pPr>
          </w:p>
        </w:tc>
        <w:tc>
          <w:tcPr>
            <w:tcW w:w="2401" w:type="dxa"/>
            <w:vMerge w:val="continue"/>
            <w:vAlign w:val="center"/>
          </w:tcPr>
          <w:p>
            <w:pPr>
              <w:widowControl/>
              <w:adjustRightInd w:val="0"/>
              <w:snapToGrid w:val="0"/>
              <w:jc w:val="center"/>
              <w:rPr>
                <w:rFonts w:ascii="宋体" w:hAnsi="宋体" w:eastAsia="宋体" w:cs="Times New Roman"/>
                <w:b/>
                <w:color w:val="000000"/>
                <w:sz w:val="24"/>
                <w:szCs w:val="24"/>
                <w:shd w:val="clear" w:color="auto" w:fill="FFFFFF"/>
              </w:rPr>
            </w:pPr>
          </w:p>
        </w:tc>
        <w:tc>
          <w:tcPr>
            <w:tcW w:w="10215" w:type="dxa"/>
            <w:vMerge w:val="continue"/>
            <w:vAlign w:val="center"/>
          </w:tcPr>
          <w:p>
            <w:pPr>
              <w:widowControl/>
              <w:adjustRightInd w:val="0"/>
              <w:snapToGrid w:val="0"/>
              <w:jc w:val="center"/>
              <w:rPr>
                <w:rFonts w:ascii="宋体" w:hAnsi="宋体" w:eastAsia="宋体" w:cs="Times New Roman"/>
                <w:b/>
                <w:color w:val="000000"/>
                <w:sz w:val="24"/>
                <w:szCs w:val="24"/>
                <w:shd w:val="clear" w:color="auto" w:fill="FFFFFF"/>
              </w:rPr>
            </w:pPr>
          </w:p>
        </w:tc>
        <w:tc>
          <w:tcPr>
            <w:tcW w:w="883" w:type="dxa"/>
            <w:vMerge w:val="continue"/>
            <w:vAlign w:val="center"/>
          </w:tcPr>
          <w:p>
            <w:pPr>
              <w:widowControl/>
              <w:adjustRightInd w:val="0"/>
              <w:snapToGrid w:val="0"/>
              <w:jc w:val="center"/>
              <w:rPr>
                <w:rFonts w:ascii="宋体" w:hAnsi="宋体" w:eastAsia="宋体" w:cs="Times New Roman"/>
                <w:b/>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restart"/>
            <w:textDirection w:val="tbRlV"/>
            <w:vAlign w:val="center"/>
          </w:tcPr>
          <w:p>
            <w:pPr>
              <w:widowControl/>
              <w:adjustRightInd w:val="0"/>
              <w:snapToGrid w:val="0"/>
              <w:ind w:left="113" w:right="113"/>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经营状况</w:t>
            </w: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资本充足率</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资本充足率</w:t>
            </w:r>
            <w:r>
              <w:rPr>
                <w:rFonts w:ascii="宋体" w:hAnsi="宋体" w:eastAsia="宋体" w:cs="Times New Roman"/>
                <w:color w:val="000000"/>
                <w:sz w:val="24"/>
                <w:szCs w:val="24"/>
                <w:shd w:val="clear" w:color="auto" w:fill="FFFFFF"/>
              </w:rPr>
              <w:t>达到监</w:t>
            </w:r>
            <w:r>
              <w:rPr>
                <w:rFonts w:hint="eastAsia" w:ascii="宋体" w:hAnsi="宋体" w:eastAsia="宋体" w:cs="Times New Roman"/>
                <w:color w:val="000000"/>
                <w:sz w:val="24"/>
                <w:szCs w:val="24"/>
                <w:shd w:val="clear" w:color="auto" w:fill="FFFFFF"/>
              </w:rPr>
              <w:t>管</w:t>
            </w:r>
            <w:r>
              <w:rPr>
                <w:rFonts w:ascii="宋体" w:hAnsi="宋体" w:eastAsia="宋体" w:cs="Times New Roman"/>
                <w:color w:val="000000"/>
                <w:sz w:val="24"/>
                <w:szCs w:val="24"/>
                <w:shd w:val="clear" w:color="auto" w:fill="FFFFFF"/>
              </w:rPr>
              <w:t>标准</w:t>
            </w:r>
            <w:r>
              <w:rPr>
                <w:rFonts w:hint="eastAsia" w:ascii="宋体" w:hAnsi="宋体" w:eastAsia="宋体" w:cs="Times New Roman"/>
                <w:color w:val="000000"/>
                <w:sz w:val="24"/>
                <w:szCs w:val="24"/>
                <w:shd w:val="clear" w:color="auto" w:fill="FFFFFF"/>
              </w:rPr>
              <w:t>并</w:t>
            </w:r>
            <w:r>
              <w:rPr>
                <w:rFonts w:ascii="宋体" w:hAnsi="宋体" w:eastAsia="宋体" w:cs="Times New Roman"/>
                <w:color w:val="000000"/>
                <w:sz w:val="24"/>
                <w:szCs w:val="24"/>
                <w:shd w:val="clear" w:color="auto" w:fill="FFFFFF"/>
              </w:rPr>
              <w:t>按照</w:t>
            </w:r>
            <w:r>
              <w:rPr>
                <w:rFonts w:hint="eastAsia" w:ascii="宋体" w:hAnsi="宋体" w:eastAsia="宋体" w:cs="Times New Roman"/>
                <w:color w:val="000000"/>
                <w:sz w:val="24"/>
                <w:szCs w:val="24"/>
                <w:shd w:val="clear" w:color="auto" w:fill="FFFFFF"/>
              </w:rPr>
              <w:t>资本充足率情况</w:t>
            </w:r>
            <w:r>
              <w:rPr>
                <w:rFonts w:ascii="宋体" w:hAnsi="宋体" w:eastAsia="宋体" w:cs="Times New Roman"/>
                <w:color w:val="000000"/>
                <w:sz w:val="24"/>
                <w:szCs w:val="24"/>
                <w:shd w:val="clear" w:color="auto" w:fill="FFFFFF"/>
              </w:rPr>
              <w:t>进行排名，第一名得5分，从第二名开始依次递减1分，如数值相同，按同档计分。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ind w:firstLine="43" w:firstLineChars="18"/>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流动性覆盖率</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FF"/>
                <w:sz w:val="24"/>
                <w:szCs w:val="24"/>
                <w:shd w:val="clear" w:color="auto" w:fill="FFFFFF"/>
              </w:rPr>
              <w:t>流动性覆盖率</w:t>
            </w:r>
            <w:r>
              <w:rPr>
                <w:rFonts w:ascii="宋体" w:hAnsi="宋体" w:eastAsia="宋体" w:cs="Times New Roman"/>
                <w:color w:val="0000FF"/>
                <w:sz w:val="24"/>
                <w:szCs w:val="24"/>
                <w:shd w:val="clear" w:color="auto" w:fill="FFFFFF"/>
              </w:rPr>
              <w:t>达到监管标准</w:t>
            </w:r>
            <w:r>
              <w:rPr>
                <w:rFonts w:hint="eastAsia" w:ascii="宋体" w:hAnsi="宋体" w:eastAsia="宋体" w:cs="Times New Roman"/>
                <w:color w:val="0000FF"/>
                <w:sz w:val="24"/>
                <w:szCs w:val="24"/>
                <w:shd w:val="clear" w:color="auto" w:fill="FFFFFF"/>
              </w:rPr>
              <w:t>并</w:t>
            </w:r>
            <w:r>
              <w:rPr>
                <w:rFonts w:ascii="宋体" w:hAnsi="宋体" w:eastAsia="宋体" w:cs="Times New Roman"/>
                <w:color w:val="000000"/>
                <w:sz w:val="24"/>
                <w:szCs w:val="24"/>
                <w:shd w:val="clear" w:color="auto" w:fill="FFFFFF"/>
              </w:rPr>
              <w:t>按照</w:t>
            </w:r>
            <w:r>
              <w:rPr>
                <w:rFonts w:hint="eastAsia" w:ascii="宋体" w:hAnsi="宋体" w:eastAsia="宋体" w:cs="Times New Roman"/>
                <w:color w:val="000000"/>
                <w:sz w:val="24"/>
                <w:szCs w:val="24"/>
                <w:shd w:val="clear" w:color="auto" w:fill="FFFFFF"/>
              </w:rPr>
              <w:t>流动性覆盖率</w:t>
            </w:r>
            <w:r>
              <w:rPr>
                <w:rFonts w:ascii="宋体" w:hAnsi="宋体" w:eastAsia="宋体" w:cs="Times New Roman"/>
                <w:color w:val="000000"/>
                <w:sz w:val="24"/>
                <w:szCs w:val="24"/>
                <w:shd w:val="clear" w:color="auto" w:fill="FFFFFF"/>
              </w:rPr>
              <w:t>进行排名，第一名得5分，从第二名开始依次递减1分。如数值相同，按同档计分</w:t>
            </w:r>
            <w:r>
              <w:rPr>
                <w:rFonts w:hint="eastAsia" w:ascii="宋体" w:hAnsi="宋体" w:eastAsia="宋体" w:cs="Times New Roman"/>
                <w:color w:val="000000"/>
                <w:sz w:val="24"/>
                <w:szCs w:val="24"/>
                <w:shd w:val="clear" w:color="auto" w:fill="FFFFFF"/>
              </w:rPr>
              <w:t>。</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ind w:firstLine="43" w:firstLineChars="18"/>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资产证券化产品托管规模</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截至2</w:t>
            </w:r>
            <w:r>
              <w:rPr>
                <w:rFonts w:ascii="宋体" w:hAnsi="宋体" w:eastAsia="宋体" w:cs="Times New Roman"/>
                <w:color w:val="000000"/>
                <w:sz w:val="24"/>
                <w:szCs w:val="24"/>
                <w:shd w:val="clear" w:color="auto" w:fill="FFFFFF"/>
              </w:rPr>
              <w:t>020</w:t>
            </w:r>
            <w:r>
              <w:rPr>
                <w:rFonts w:hint="eastAsia" w:ascii="宋体" w:hAnsi="宋体" w:eastAsia="宋体" w:cs="Times New Roman"/>
                <w:color w:val="000000"/>
                <w:sz w:val="24"/>
                <w:szCs w:val="24"/>
                <w:shd w:val="clear" w:color="auto" w:fill="FFFFFF"/>
              </w:rPr>
              <w:t>年6月3</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日，按照投标人资产证券化产品的托管规模进行递减排名，第一名得5分，从第二名开始依次递减1分，如数值相同，按同档计分。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在福建地区</w:t>
            </w:r>
          </w:p>
          <w:p>
            <w:pPr>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资产规模</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福建地区（不含厦门）资产规模（</w:t>
            </w:r>
            <w:r>
              <w:rPr>
                <w:rFonts w:ascii="宋体" w:hAnsi="宋体" w:eastAsia="宋体" w:cs="Times New Roman"/>
                <w:color w:val="000000"/>
                <w:sz w:val="24"/>
                <w:szCs w:val="24"/>
                <w:shd w:val="clear" w:color="auto" w:fill="FFFFFF"/>
              </w:rPr>
              <w:t>5</w:t>
            </w:r>
            <w:r>
              <w:rPr>
                <w:rFonts w:hint="eastAsia" w:ascii="宋体" w:hAnsi="宋体" w:eastAsia="宋体" w:cs="Times New Roman"/>
                <w:color w:val="000000"/>
                <w:sz w:val="24"/>
                <w:szCs w:val="24"/>
                <w:shd w:val="clear" w:color="auto" w:fill="FFFFFF"/>
              </w:rPr>
              <w:t>分）。根据参与银行上一年末在福建地区（不含厦门）资产规模数据为评分依据。按照资产规模进行排名，第一名得满分，即</w:t>
            </w:r>
            <w:r>
              <w:rPr>
                <w:rFonts w:ascii="宋体" w:hAnsi="宋体" w:eastAsia="宋体" w:cs="Times New Roman"/>
                <w:color w:val="000000"/>
                <w:sz w:val="24"/>
                <w:szCs w:val="24"/>
                <w:shd w:val="clear" w:color="auto" w:fill="FFFFFF"/>
              </w:rPr>
              <w:t>5</w:t>
            </w:r>
            <w:r>
              <w:rPr>
                <w:rFonts w:hint="eastAsia" w:ascii="宋体" w:hAnsi="宋体" w:eastAsia="宋体" w:cs="Times New Roman"/>
                <w:color w:val="000000"/>
                <w:sz w:val="24"/>
                <w:szCs w:val="24"/>
                <w:shd w:val="clear" w:color="auto" w:fill="FFFFFF"/>
              </w:rPr>
              <w:t>分，从第二名开始依次递减1分，如数值相同，按同档计分。</w:t>
            </w:r>
          </w:p>
        </w:tc>
        <w:tc>
          <w:tcPr>
            <w:tcW w:w="883" w:type="dxa"/>
            <w:vAlign w:val="center"/>
          </w:tcPr>
          <w:p>
            <w:pPr>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restart"/>
            <w:textDirection w:val="tbRlV"/>
            <w:vAlign w:val="center"/>
          </w:tcPr>
          <w:p>
            <w:pPr>
              <w:adjustRightInd w:val="0"/>
              <w:snapToGrid w:val="0"/>
              <w:ind w:left="113" w:right="113"/>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历史合作情况</w:t>
            </w: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对原始权益人及项目增信机构整体授信余额情况</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对截至2</w:t>
            </w:r>
            <w:r>
              <w:rPr>
                <w:rFonts w:ascii="宋体" w:hAnsi="宋体" w:eastAsia="宋体" w:cs="Times New Roman"/>
                <w:color w:val="000000"/>
                <w:sz w:val="24"/>
                <w:szCs w:val="24"/>
                <w:shd w:val="clear" w:color="auto" w:fill="FFFFFF"/>
              </w:rPr>
              <w:t>020</w:t>
            </w:r>
            <w:r>
              <w:rPr>
                <w:rFonts w:hint="eastAsia" w:ascii="宋体" w:hAnsi="宋体" w:eastAsia="宋体" w:cs="Times New Roman"/>
                <w:color w:val="000000"/>
                <w:sz w:val="24"/>
                <w:szCs w:val="24"/>
                <w:shd w:val="clear" w:color="auto" w:fill="FFFFFF"/>
              </w:rPr>
              <w:t>年6月3</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日，银行机构对本项目之原始权益人福州自来水及福州水务投资整体授信总额进行递减排名，第一名得满分，即5分，从第二名开始依次递减2分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textDirection w:val="tbRlV"/>
            <w:vAlign w:val="center"/>
          </w:tcPr>
          <w:p>
            <w:pPr>
              <w:widowControl/>
              <w:adjustRightInd w:val="0"/>
              <w:snapToGrid w:val="0"/>
              <w:ind w:left="113" w:right="113"/>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对原始权益人及项目增信机构过往的存量贷款情况</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对截至2</w:t>
            </w:r>
            <w:r>
              <w:rPr>
                <w:rFonts w:ascii="宋体" w:hAnsi="宋体" w:eastAsia="宋体" w:cs="Times New Roman"/>
                <w:color w:val="000000"/>
                <w:sz w:val="24"/>
                <w:szCs w:val="24"/>
                <w:shd w:val="clear" w:color="auto" w:fill="FFFFFF"/>
              </w:rPr>
              <w:t>020</w:t>
            </w:r>
            <w:r>
              <w:rPr>
                <w:rFonts w:hint="eastAsia" w:ascii="宋体" w:hAnsi="宋体" w:eastAsia="宋体" w:cs="Times New Roman"/>
                <w:color w:val="000000"/>
                <w:sz w:val="24"/>
                <w:szCs w:val="24"/>
                <w:shd w:val="clear" w:color="auto" w:fill="FFFFFF"/>
              </w:rPr>
              <w:t>年6月3</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日，银行机构对本项目之原始权益人福州自来水及福州水务投资整体存量贷款余额之和进行排名，第一名得满分，既1</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分，从第二名开始依次递减2分，</w:t>
            </w:r>
            <w:r>
              <w:rPr>
                <w:rFonts w:ascii="宋体" w:hAnsi="宋体" w:eastAsia="宋体" w:cs="Times New Roman"/>
                <w:color w:val="000000"/>
                <w:sz w:val="24"/>
                <w:szCs w:val="24"/>
                <w:shd w:val="clear" w:color="auto" w:fill="FFFFFF"/>
              </w:rPr>
              <w:t>如数值相同，按同档计分</w:t>
            </w:r>
            <w:r>
              <w:rPr>
                <w:rFonts w:hint="eastAsia" w:ascii="宋体" w:hAnsi="宋体" w:eastAsia="宋体" w:cs="Times New Roman"/>
                <w:color w:val="000000"/>
                <w:sz w:val="24"/>
                <w:szCs w:val="24"/>
                <w:shd w:val="clear" w:color="auto" w:fill="FFFFFF"/>
              </w:rPr>
              <w:t>。</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ascii="宋体" w:hAnsi="宋体" w:eastAsia="宋体" w:cs="Times New Roman"/>
                <w:color w:val="000000"/>
                <w:sz w:val="24"/>
                <w:szCs w:val="24"/>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与原始权益人过往一般资金账户合作情况</w:t>
            </w:r>
          </w:p>
        </w:tc>
        <w:tc>
          <w:tcPr>
            <w:tcW w:w="10215" w:type="dxa"/>
            <w:vAlign w:val="center"/>
          </w:tcPr>
          <w:p>
            <w:pPr>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原始权益人福州自来水是否在银行机构开具一般资金账户，已开立一般资金账户的得5分，未开立的不得分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restart"/>
            <w:textDirection w:val="tbRlV"/>
            <w:vAlign w:val="center"/>
          </w:tcPr>
          <w:p>
            <w:pPr>
              <w:widowControl/>
              <w:adjustRightInd w:val="0"/>
              <w:snapToGrid w:val="0"/>
              <w:ind w:left="113" w:right="113"/>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服务能力</w:t>
            </w: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是否具备对本项目同时提供资金托管及资金监管服务能力</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同时能为本项目提供资金监管及资金托管服务的得满分，既1</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分，不能同时满足的，满足一项得5分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ascii="宋体" w:hAnsi="宋体" w:eastAsia="宋体" w:cs="Times New Roman"/>
                <w:color w:val="000000"/>
                <w:sz w:val="24"/>
                <w:szCs w:val="24"/>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extDirection w:val="tbRlV"/>
            <w:vAlign w:val="center"/>
          </w:tcPr>
          <w:p>
            <w:pPr>
              <w:widowControl/>
              <w:adjustRightInd w:val="0"/>
              <w:snapToGrid w:val="0"/>
              <w:ind w:left="113" w:right="113"/>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资金托管及资金监管服务收费情况</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同时同意并承诺不对本项目所提供的资金托管、资金监管服务收取相应的托管费、监管费的得1</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分，不能同时满足的，满足一项得5分，两项服务均需收费的不得分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1</w:t>
            </w:r>
            <w:r>
              <w:rPr>
                <w:rFonts w:ascii="宋体" w:hAnsi="宋体" w:eastAsia="宋体" w:cs="Times New Roman"/>
                <w:color w:val="000000"/>
                <w:sz w:val="24"/>
                <w:szCs w:val="24"/>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restart"/>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投</w:t>
            </w:r>
          </w:p>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资</w:t>
            </w:r>
          </w:p>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支</w:t>
            </w:r>
          </w:p>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持</w:t>
            </w: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发行票面利率区间预估</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根据本项目之项目要素对本项目之预计发行票面利率进行合理预估（预估利率区间为1</w:t>
            </w:r>
            <w:r>
              <w:rPr>
                <w:rFonts w:ascii="宋体" w:hAnsi="宋体" w:eastAsia="宋体" w:cs="Times New Roman"/>
                <w:color w:val="000000"/>
                <w:sz w:val="24"/>
                <w:szCs w:val="24"/>
                <w:shd w:val="clear" w:color="auto" w:fill="FFFFFF"/>
              </w:rPr>
              <w:t>00</w:t>
            </w:r>
            <w:r>
              <w:rPr>
                <w:rFonts w:hint="eastAsia" w:ascii="宋体" w:hAnsi="宋体" w:eastAsia="宋体" w:cs="Times New Roman"/>
                <w:color w:val="000000"/>
                <w:sz w:val="24"/>
                <w:szCs w:val="24"/>
                <w:shd w:val="clear" w:color="auto" w:fill="FFFFFF"/>
              </w:rPr>
              <w:t>BP范围）预估票面利率最低者得满分，既</w:t>
            </w:r>
            <w:r>
              <w:rPr>
                <w:rFonts w:ascii="宋体" w:hAnsi="宋体" w:eastAsia="宋体" w:cs="Times New Roman"/>
                <w:color w:val="000000"/>
                <w:sz w:val="24"/>
                <w:szCs w:val="24"/>
                <w:shd w:val="clear" w:color="auto" w:fill="FFFFFF"/>
              </w:rPr>
              <w:t>5</w:t>
            </w:r>
            <w:r>
              <w:rPr>
                <w:rFonts w:hint="eastAsia" w:ascii="宋体" w:hAnsi="宋体" w:eastAsia="宋体" w:cs="Times New Roman"/>
                <w:color w:val="000000"/>
                <w:sz w:val="24"/>
                <w:szCs w:val="24"/>
                <w:shd w:val="clear" w:color="auto" w:fill="FFFFFF"/>
              </w:rPr>
              <w:t>分，第二名开始按名次依此递减</w:t>
            </w:r>
            <w:r>
              <w:rPr>
                <w:rFonts w:ascii="宋体" w:hAnsi="宋体" w:eastAsia="宋体" w:cs="Times New Roman"/>
                <w:color w:val="000000"/>
                <w:sz w:val="24"/>
                <w:szCs w:val="24"/>
                <w:shd w:val="clear" w:color="auto" w:fill="FFFFFF"/>
              </w:rPr>
              <w:t>1</w:t>
            </w:r>
            <w:r>
              <w:rPr>
                <w:rFonts w:hint="eastAsia" w:ascii="宋体" w:hAnsi="宋体" w:eastAsia="宋体" w:cs="Times New Roman"/>
                <w:color w:val="000000"/>
                <w:sz w:val="24"/>
                <w:szCs w:val="24"/>
                <w:shd w:val="clear" w:color="auto" w:fill="FFFFFF"/>
              </w:rPr>
              <w:t>分，</w:t>
            </w:r>
            <w:r>
              <w:rPr>
                <w:rFonts w:ascii="宋体" w:hAnsi="宋体" w:eastAsia="宋体" w:cs="Times New Roman"/>
                <w:color w:val="000000"/>
                <w:sz w:val="24"/>
                <w:szCs w:val="24"/>
                <w:shd w:val="clear" w:color="auto" w:fill="FFFFFF"/>
              </w:rPr>
              <w:t>如数值相同，按同档计分</w:t>
            </w:r>
            <w:r>
              <w:rPr>
                <w:rFonts w:hint="eastAsia" w:ascii="宋体" w:hAnsi="宋体" w:eastAsia="宋体" w:cs="Times New Roman"/>
                <w:color w:val="000000"/>
                <w:sz w:val="24"/>
                <w:szCs w:val="24"/>
                <w:shd w:val="clear" w:color="auto" w:fill="FFFFFF"/>
              </w:rPr>
              <w:t>。</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ascii="宋体" w:hAnsi="宋体" w:eastAsia="宋体" w:cs="Times New Roman"/>
                <w:color w:val="000000"/>
                <w:sz w:val="24"/>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意向申购票面利率以及最大可投比例预计</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根据本项目之项目要素结合投标当日3年期国开债价格对本项目意向申购价格进行承诺（申购价格不超过簿记当日3年期国开债率+</w:t>
            </w:r>
            <w:r>
              <w:rPr>
                <w:rFonts w:ascii="宋体" w:hAnsi="宋体" w:eastAsia="宋体" w:cs="Times New Roman"/>
                <w:color w:val="000000"/>
                <w:sz w:val="24"/>
                <w:szCs w:val="24"/>
                <w:shd w:val="clear" w:color="auto" w:fill="FFFFFF"/>
              </w:rPr>
              <w:t>/-</w:t>
            </w:r>
            <w:r>
              <w:rPr>
                <w:rFonts w:hint="eastAsia" w:ascii="宋体" w:hAnsi="宋体" w:eastAsia="宋体" w:cs="Times New Roman"/>
                <w:color w:val="000000"/>
                <w:sz w:val="24"/>
                <w:szCs w:val="24"/>
                <w:shd w:val="clear" w:color="auto" w:fill="FFFFFF"/>
              </w:rPr>
              <w:t>XBP），承诺意向申购票面利率最低者得满分既5分，第二名开始按名次依此递减1分，</w:t>
            </w:r>
            <w:r>
              <w:rPr>
                <w:rFonts w:ascii="宋体" w:hAnsi="宋体" w:eastAsia="宋体" w:cs="Times New Roman"/>
                <w:color w:val="000000"/>
                <w:sz w:val="24"/>
                <w:szCs w:val="24"/>
                <w:shd w:val="clear" w:color="auto" w:fill="FFFFFF"/>
              </w:rPr>
              <w:t>如数值相同，按同档计分</w:t>
            </w:r>
            <w:r>
              <w:rPr>
                <w:rFonts w:hint="eastAsia" w:ascii="宋体" w:hAnsi="宋体" w:eastAsia="宋体" w:cs="Times New Roman"/>
                <w:color w:val="000000"/>
                <w:sz w:val="24"/>
                <w:szCs w:val="24"/>
                <w:shd w:val="clear" w:color="auto" w:fill="FFFFFF"/>
              </w:rPr>
              <w:t>，无法出具承诺函的不得分。同时根据本项目之项目要素判断对本项目可申购比率，对申购比例进行递减排名，比率最高者得5分，第二名开始按名次依此递减1分，</w:t>
            </w:r>
            <w:r>
              <w:rPr>
                <w:rFonts w:ascii="宋体" w:hAnsi="宋体" w:eastAsia="宋体" w:cs="Times New Roman"/>
                <w:color w:val="000000"/>
                <w:sz w:val="24"/>
                <w:szCs w:val="24"/>
                <w:shd w:val="clear" w:color="auto" w:fill="FFFFFF"/>
              </w:rPr>
              <w:t>如数值相同，按同档计分</w:t>
            </w:r>
            <w:r>
              <w:rPr>
                <w:rFonts w:hint="eastAsia" w:ascii="宋体" w:hAnsi="宋体" w:eastAsia="宋体" w:cs="Times New Roman"/>
                <w:color w:val="000000"/>
                <w:sz w:val="24"/>
                <w:szCs w:val="24"/>
                <w:shd w:val="clear" w:color="auto" w:fill="FFFFFF"/>
              </w:rPr>
              <w:t>。</w:t>
            </w:r>
          </w:p>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根据本项目之项目要素判断对本项目最大申购比率，根据最高可申购规模依次递减排名，可申购比率最大的得</w:t>
            </w:r>
            <w:r>
              <w:rPr>
                <w:rFonts w:ascii="宋体" w:hAnsi="宋体" w:eastAsia="宋体" w:cs="Times New Roman"/>
                <w:color w:val="000000"/>
                <w:sz w:val="24"/>
                <w:szCs w:val="24"/>
                <w:shd w:val="clear" w:color="auto" w:fill="FFFFFF"/>
              </w:rPr>
              <w:t>5</w:t>
            </w:r>
            <w:r>
              <w:rPr>
                <w:rFonts w:hint="eastAsia" w:ascii="宋体" w:hAnsi="宋体" w:eastAsia="宋体" w:cs="Times New Roman"/>
                <w:color w:val="000000"/>
                <w:sz w:val="24"/>
                <w:szCs w:val="24"/>
                <w:shd w:val="clear" w:color="auto" w:fill="FFFFFF"/>
              </w:rPr>
              <w:t>分，第二名开始按名次依次递减1分，</w:t>
            </w:r>
            <w:r>
              <w:rPr>
                <w:rFonts w:ascii="宋体" w:hAnsi="宋体" w:eastAsia="宋体" w:cs="Times New Roman"/>
                <w:color w:val="000000"/>
                <w:sz w:val="24"/>
                <w:szCs w:val="24"/>
                <w:shd w:val="clear" w:color="auto" w:fill="FFFFFF"/>
              </w:rPr>
              <w:t>如数值相同，按同档计分</w:t>
            </w:r>
            <w:r>
              <w:rPr>
                <w:rFonts w:hint="eastAsia" w:ascii="宋体" w:hAnsi="宋体" w:eastAsia="宋体" w:cs="Times New Roman"/>
                <w:color w:val="000000"/>
                <w:sz w:val="24"/>
                <w:szCs w:val="24"/>
                <w:shd w:val="clear" w:color="auto" w:fill="FFFFFF"/>
              </w:rPr>
              <w:t>。</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1</w:t>
            </w:r>
            <w:r>
              <w:rPr>
                <w:rFonts w:ascii="宋体" w:hAnsi="宋体" w:eastAsia="宋体" w:cs="Times New Roman"/>
                <w:color w:val="000000"/>
                <w:sz w:val="24"/>
                <w:szCs w:val="24"/>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是否具备多元化资金投资能力</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是否能根据本项目之项目要素判断能够参与本项目之行内可协调资金渠道，包括但不限于总行理财资金、下属理财子公司资金、总行自营资金、总行同业资金、可协调同业非银资金、保险资金等；每一项得2分，总分不超1</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1</w:t>
            </w:r>
            <w:r>
              <w:rPr>
                <w:rFonts w:ascii="宋体" w:hAnsi="宋体" w:eastAsia="宋体" w:cs="Times New Roman"/>
                <w:color w:val="000000"/>
                <w:sz w:val="24"/>
                <w:szCs w:val="24"/>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新增信贷审核时间</w:t>
            </w:r>
          </w:p>
        </w:tc>
        <w:tc>
          <w:tcPr>
            <w:tcW w:w="10215" w:type="dxa"/>
            <w:vAlign w:val="center"/>
          </w:tcPr>
          <w:p>
            <w:pPr>
              <w:widowControl/>
              <w:adjustRightInd w:val="0"/>
              <w:snapToGrid w:val="0"/>
              <w:jc w:val="left"/>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对认购本项目的新增授信审批时间进行合理预估；最优方案者得1</w:t>
            </w:r>
            <w:r>
              <w:rPr>
                <w:rFonts w:ascii="宋体" w:hAnsi="宋体" w:eastAsia="宋体" w:cs="Times New Roman"/>
                <w:color w:val="000000"/>
                <w:sz w:val="24"/>
                <w:szCs w:val="24"/>
                <w:shd w:val="clear" w:color="auto" w:fill="FFFFFF"/>
              </w:rPr>
              <w:t>0</w:t>
            </w:r>
            <w:r>
              <w:rPr>
                <w:rFonts w:hint="eastAsia" w:ascii="宋体" w:hAnsi="宋体" w:eastAsia="宋体" w:cs="Times New Roman"/>
                <w:color w:val="000000"/>
                <w:sz w:val="24"/>
                <w:szCs w:val="24"/>
                <w:shd w:val="clear" w:color="auto" w:fill="FFFFFF"/>
              </w:rPr>
              <w:t>分，第二名开始依次递减2分。</w:t>
            </w: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1</w:t>
            </w:r>
            <w:r>
              <w:rPr>
                <w:rFonts w:ascii="宋体" w:hAnsi="宋体" w:eastAsia="宋体" w:cs="Times New Roman"/>
                <w:color w:val="000000"/>
                <w:sz w:val="24"/>
                <w:szCs w:val="24"/>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widowControl/>
              <w:adjustRightInd w:val="0"/>
              <w:snapToGrid w:val="0"/>
              <w:jc w:val="center"/>
              <w:rPr>
                <w:rFonts w:ascii="宋体" w:hAnsi="宋体" w:eastAsia="宋体" w:cs="Times New Roman"/>
                <w:color w:val="000000"/>
                <w:sz w:val="24"/>
                <w:szCs w:val="24"/>
                <w:shd w:val="clear" w:color="auto" w:fill="FFFFFF"/>
              </w:rPr>
            </w:pPr>
            <w:r>
              <w:rPr>
                <w:rFonts w:hint="eastAsia" w:ascii="宋体" w:hAnsi="宋体" w:eastAsia="宋体" w:cs="Times New Roman"/>
                <w:color w:val="000000"/>
                <w:sz w:val="24"/>
                <w:szCs w:val="24"/>
                <w:shd w:val="clear" w:color="auto" w:fill="FFFFFF"/>
              </w:rPr>
              <w:t>合计</w:t>
            </w:r>
          </w:p>
        </w:tc>
        <w:tc>
          <w:tcPr>
            <w:tcW w:w="2401" w:type="dxa"/>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10215" w:type="dxa"/>
            <w:vAlign w:val="center"/>
          </w:tcPr>
          <w:p>
            <w:pPr>
              <w:widowControl/>
              <w:adjustRightInd w:val="0"/>
              <w:snapToGrid w:val="0"/>
              <w:jc w:val="center"/>
              <w:rPr>
                <w:rFonts w:ascii="宋体" w:hAnsi="宋体" w:eastAsia="宋体" w:cs="Times New Roman"/>
                <w:color w:val="000000"/>
                <w:sz w:val="24"/>
                <w:szCs w:val="24"/>
                <w:shd w:val="clear" w:color="auto" w:fill="FFFFFF"/>
              </w:rPr>
            </w:pPr>
          </w:p>
        </w:tc>
        <w:tc>
          <w:tcPr>
            <w:tcW w:w="883" w:type="dxa"/>
            <w:vAlign w:val="center"/>
          </w:tcPr>
          <w:p>
            <w:pPr>
              <w:widowControl/>
              <w:adjustRightInd w:val="0"/>
              <w:snapToGrid w:val="0"/>
              <w:jc w:val="center"/>
              <w:rPr>
                <w:rFonts w:ascii="宋体" w:hAnsi="宋体" w:eastAsia="宋体" w:cs="Times New Roman"/>
                <w:color w:val="000000"/>
                <w:sz w:val="24"/>
                <w:szCs w:val="24"/>
                <w:shd w:val="clear" w:color="auto" w:fill="FFFFFF"/>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D37E2"/>
    <w:rsid w:val="04ED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2020-09-23T00:48:00Z</dcterms:created>
  <dc:creator>知安积银</dc:creator>
  <cp:lastModifiedBy>知安积银</cp:lastModifiedBy>
  <dcterms:modified xsi:type="dcterms:W3CDTF">2020-09-23T00:49:09Z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