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14"/>
        </w:rPr>
      </w:pPr>
    </w:p>
    <w:p>
      <w:pPr>
        <w:pStyle w:val="3"/>
        <w:jc w:val="center"/>
        <w:rPr>
          <w:sz w:val="44"/>
          <w:szCs w:val="44"/>
        </w:rPr>
      </w:pPr>
      <w:r>
        <w:rPr>
          <w:sz w:val="44"/>
          <w:szCs w:val="44"/>
        </w:rPr>
        <w:t>福州市水务工程有限责任公司</w:t>
      </w:r>
      <w:r>
        <w:rPr>
          <w:rFonts w:hint="eastAsia"/>
          <w:sz w:val="44"/>
          <w:szCs w:val="44"/>
        </w:rPr>
        <w:t>螺栓、螺母采购项目</w:t>
      </w:r>
    </w:p>
    <w:p>
      <w:pPr>
        <w:pStyle w:val="3"/>
        <w:jc w:val="center"/>
      </w:pPr>
      <w:r>
        <w:t>市场询价通知</w:t>
      </w:r>
    </w:p>
    <w:p>
      <w:pPr>
        <w:widowControl/>
        <w:spacing w:line="312" w:lineRule="auto"/>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为了方便下一步福州市水务工程有限责任公司</w:t>
      </w:r>
      <w:r>
        <w:rPr>
          <w:rFonts w:hint="eastAsia" w:asciiTheme="majorEastAsia" w:hAnsiTheme="majorEastAsia" w:eastAsiaTheme="majorEastAsia" w:cstheme="majorEastAsia"/>
          <w:sz w:val="24"/>
        </w:rPr>
        <w:t>螺栓、螺母</w:t>
      </w:r>
      <w:r>
        <w:rPr>
          <w:rFonts w:hint="eastAsia" w:asciiTheme="majorEastAsia" w:hAnsiTheme="majorEastAsia" w:eastAsiaTheme="majorEastAsia" w:cstheme="majorEastAsia"/>
          <w:kern w:val="0"/>
          <w:sz w:val="24"/>
        </w:rPr>
        <w:t>采购项目的采购工作，福州市水务工程有限责任公司现向国内企业进行采购前的市场询价。</w:t>
      </w:r>
    </w:p>
    <w:p>
      <w:pPr>
        <w:widowControl/>
        <w:spacing w:line="56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一、企业需提供的材料</w:t>
      </w:r>
    </w:p>
    <w:p>
      <w:pPr>
        <w:widowControl/>
        <w:spacing w:line="560" w:lineRule="exact"/>
        <w:ind w:firstLine="360" w:firstLineChars="15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1、企业法人营业执照、税务登记证或三证合一的证书（正副本复印件，原件备查）。</w:t>
      </w:r>
    </w:p>
    <w:p>
      <w:pPr>
        <w:widowControl/>
        <w:spacing w:line="560" w:lineRule="exact"/>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2、联系人姓名，电话（格式自拟）。</w:t>
      </w:r>
    </w:p>
    <w:p>
      <w:pPr>
        <w:widowControl/>
        <w:spacing w:line="600" w:lineRule="exact"/>
        <w:ind w:left="599" w:leftChars="228" w:hanging="120" w:hangingChars="5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r>
        <w:rPr>
          <w:rFonts w:hint="eastAsia" w:asciiTheme="majorEastAsia" w:hAnsiTheme="majorEastAsia" w:eastAsiaTheme="majorEastAsia" w:cstheme="majorEastAsia"/>
          <w:sz w:val="24"/>
        </w:rPr>
        <w:t>螺栓、螺母</w:t>
      </w:r>
      <w:r>
        <w:rPr>
          <w:rFonts w:hint="eastAsia" w:asciiTheme="majorEastAsia" w:hAnsiTheme="majorEastAsia" w:eastAsiaTheme="majorEastAsia" w:cstheme="majorEastAsia"/>
          <w:kern w:val="0"/>
          <w:sz w:val="24"/>
        </w:rPr>
        <w:t>采购项目的市场价（按询价货物一览表产品型号、规格进行报价）</w:t>
      </w:r>
    </w:p>
    <w:p>
      <w:pPr>
        <w:snapToGrid w:val="0"/>
        <w:spacing w:line="360" w:lineRule="auto"/>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二、询价货物一览表：</w:t>
      </w:r>
    </w:p>
    <w:p>
      <w:pPr>
        <w:tabs>
          <w:tab w:val="left" w:pos="180"/>
        </w:tabs>
        <w:spacing w:line="52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询价货物一览表</w:t>
      </w:r>
    </w:p>
    <w:tbl>
      <w:tblPr>
        <w:tblStyle w:val="12"/>
        <w:tblW w:w="1008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15"/>
        <w:gridCol w:w="1880"/>
        <w:gridCol w:w="1380"/>
        <w:gridCol w:w="930"/>
        <w:gridCol w:w="1185"/>
        <w:gridCol w:w="204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合同包</w:t>
            </w: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产品名称</w:t>
            </w:r>
          </w:p>
        </w:tc>
        <w:tc>
          <w:tcPr>
            <w:tcW w:w="1380" w:type="dxa"/>
            <w:noWrap/>
            <w:vAlign w:val="center"/>
          </w:tcPr>
          <w:p>
            <w:pPr>
              <w:snapToGrid w:val="0"/>
              <w:spacing w:line="264"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规格、型号</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w:t>
            </w:r>
          </w:p>
        </w:tc>
        <w:tc>
          <w:tcPr>
            <w:tcW w:w="118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2040" w:type="dxa"/>
            <w:noWrap/>
          </w:tcPr>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报价/套/元</w:t>
            </w:r>
          </w:p>
          <w:p>
            <w:pPr>
              <w:snapToGrid w:val="0"/>
              <w:spacing w:line="264"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（人民币）</w:t>
            </w:r>
          </w:p>
        </w:tc>
        <w:tc>
          <w:tcPr>
            <w:tcW w:w="1590" w:type="dxa"/>
            <w:noWrap/>
            <w:vAlign w:val="center"/>
          </w:tcPr>
          <w:p>
            <w:pPr>
              <w:snapToGrid w:val="0"/>
              <w:spacing w:line="264"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noWrap/>
          </w:tcPr>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M12﹡60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p>
            <w:pPr>
              <w:snapToGrid w:val="0"/>
              <w:spacing w:line="264" w:lineRule="auto"/>
              <w:jc w:val="center"/>
              <w:rPr>
                <w:rFonts w:asciiTheme="majorEastAsia" w:hAnsiTheme="majorEastAsia" w:eastAsiaTheme="majorEastAsia" w:cstheme="majorEastAsia"/>
                <w:sz w:val="24"/>
              </w:rPr>
            </w:pPr>
          </w:p>
        </w:tc>
        <w:tc>
          <w:tcPr>
            <w:tcW w:w="1590" w:type="dxa"/>
            <w:vMerge w:val="restart"/>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M16﹡75</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M16﹡100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M16﹡120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M16﹡150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M18﹡90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M18﹡120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M18﹡150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M20﹡90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M20﹡100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M20﹡110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M20﹡120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M20﹡150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M20﹡180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M22﹡100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16</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M22﹡110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M22﹡120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18</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M22﹡150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19</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M24﹡100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20</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M24﹡110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M24﹡120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M24﹡140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23</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M24﹡150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24</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M27﹡110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M27﹡120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26</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M27﹡220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M30﹡100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M30﹡110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29</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M30﹡120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M30﹡130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M30﹡140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M30﹡150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M30﹡240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M33﹡120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M36﹡130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M36﹡140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37</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M36﹡160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38</w:t>
            </w:r>
          </w:p>
        </w:tc>
        <w:tc>
          <w:tcPr>
            <w:tcW w:w="188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M36﹡280</w:t>
            </w:r>
          </w:p>
        </w:tc>
        <w:tc>
          <w:tcPr>
            <w:tcW w:w="930"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39</w:t>
            </w:r>
          </w:p>
        </w:tc>
        <w:tc>
          <w:tcPr>
            <w:tcW w:w="1880" w:type="dxa"/>
            <w:noWrap/>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M40﹡120</w:t>
            </w:r>
          </w:p>
        </w:tc>
        <w:tc>
          <w:tcPr>
            <w:tcW w:w="930"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40</w:t>
            </w:r>
          </w:p>
        </w:tc>
        <w:tc>
          <w:tcPr>
            <w:tcW w:w="1880" w:type="dxa"/>
            <w:noWrap/>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M40﹡150</w:t>
            </w:r>
          </w:p>
        </w:tc>
        <w:tc>
          <w:tcPr>
            <w:tcW w:w="930"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w:t>
            </w:r>
          </w:p>
        </w:tc>
        <w:tc>
          <w:tcPr>
            <w:tcW w:w="1880" w:type="dxa"/>
            <w:noWrap/>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M45﹡180</w:t>
            </w:r>
          </w:p>
        </w:tc>
        <w:tc>
          <w:tcPr>
            <w:tcW w:w="930"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tcPr>
          <w:p>
            <w:pPr>
              <w:snapToGrid w:val="0"/>
              <w:spacing w:line="264" w:lineRule="auto"/>
              <w:jc w:val="center"/>
              <w:rPr>
                <w:rFonts w:asciiTheme="majorEastAsia" w:hAnsiTheme="majorEastAsia" w:eastAsiaTheme="majorEastAsia" w:cstheme="majorEastAsia"/>
                <w:sz w:val="24"/>
              </w:rPr>
            </w:pPr>
          </w:p>
        </w:tc>
        <w:tc>
          <w:tcPr>
            <w:tcW w:w="515" w:type="dxa"/>
            <w:noWrap/>
            <w:vAlign w:val="center"/>
          </w:tcPr>
          <w:p>
            <w:pPr>
              <w:snapToGrid w:val="0"/>
              <w:spacing w:line="264"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42</w:t>
            </w:r>
          </w:p>
        </w:tc>
        <w:tc>
          <w:tcPr>
            <w:tcW w:w="1880" w:type="dxa"/>
            <w:noWrap/>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镀锌六角螺栓、螺母</w:t>
            </w:r>
          </w:p>
        </w:tc>
        <w:tc>
          <w:tcPr>
            <w:tcW w:w="1380"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M48﹡180</w:t>
            </w:r>
          </w:p>
        </w:tc>
        <w:tc>
          <w:tcPr>
            <w:tcW w:w="930"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套</w:t>
            </w:r>
          </w:p>
        </w:tc>
        <w:tc>
          <w:tcPr>
            <w:tcW w:w="1185" w:type="dxa"/>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w:t>
            </w:r>
          </w:p>
        </w:tc>
        <w:tc>
          <w:tcPr>
            <w:tcW w:w="2040" w:type="dxa"/>
            <w:noWrap/>
          </w:tcPr>
          <w:p>
            <w:pPr>
              <w:snapToGrid w:val="0"/>
              <w:spacing w:line="264" w:lineRule="auto"/>
              <w:jc w:val="center"/>
              <w:rPr>
                <w:rFonts w:asciiTheme="majorEastAsia" w:hAnsiTheme="majorEastAsia" w:eastAsiaTheme="majorEastAsia" w:cstheme="majorEastAsia"/>
                <w:sz w:val="24"/>
              </w:rPr>
            </w:pPr>
          </w:p>
        </w:tc>
        <w:tc>
          <w:tcPr>
            <w:tcW w:w="1590" w:type="dxa"/>
            <w:vMerge w:val="continue"/>
            <w:noWrap/>
            <w:vAlign w:val="center"/>
          </w:tcPr>
          <w:p>
            <w:pPr>
              <w:snapToGrid w:val="0"/>
              <w:spacing w:line="264"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7" w:type="dxa"/>
            <w:gridSpan w:val="8"/>
            <w:noWrap/>
          </w:tcPr>
          <w:p>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以上货物报价应包括</w:t>
            </w:r>
            <w:r>
              <w:rPr>
                <w:rFonts w:hint="eastAsia" w:asciiTheme="majorEastAsia" w:hAnsiTheme="majorEastAsia" w:eastAsiaTheme="majorEastAsia" w:cstheme="majorEastAsia"/>
                <w:color w:val="000000"/>
                <w:sz w:val="24"/>
              </w:rPr>
              <w:t>：</w:t>
            </w:r>
            <w:r>
              <w:rPr>
                <w:rFonts w:hint="eastAsia" w:asciiTheme="majorEastAsia" w:hAnsiTheme="majorEastAsia" w:eastAsiaTheme="majorEastAsia" w:cstheme="majorEastAsia"/>
                <w:sz w:val="24"/>
              </w:rPr>
              <w:t>货物制造、货物装卸、安装服务、运输、税金、劳务、运输、管理、保险、售后服务以及对供货产品抽样送检检测等全部费用，以及所有根据合同或其他原因应由供方支付的税金和其他应缴的全部费用。</w:t>
            </w:r>
          </w:p>
        </w:tc>
      </w:tr>
    </w:tbl>
    <w:p>
      <w:pPr>
        <w:snapToGrid w:val="0"/>
        <w:spacing w:line="360" w:lineRule="auto"/>
        <w:ind w:firstLine="2597" w:firstLineChars="1078"/>
        <w:rPr>
          <w:rStyle w:val="14"/>
          <w:rFonts w:asciiTheme="majorEastAsia" w:hAnsiTheme="majorEastAsia" w:eastAsiaTheme="majorEastAsia" w:cstheme="majorEastAsia"/>
          <w:sz w:val="24"/>
        </w:rPr>
      </w:pPr>
    </w:p>
    <w:p>
      <w:pPr>
        <w:snapToGrid w:val="0"/>
        <w:spacing w:line="360" w:lineRule="auto"/>
        <w:ind w:firstLine="2597" w:firstLineChars="1078"/>
        <w:rPr>
          <w:rStyle w:val="14"/>
          <w:rFonts w:asciiTheme="majorEastAsia" w:hAnsiTheme="majorEastAsia" w:eastAsiaTheme="majorEastAsia" w:cstheme="majorEastAsia"/>
          <w:sz w:val="24"/>
        </w:rPr>
      </w:pPr>
    </w:p>
    <w:p>
      <w:pPr>
        <w:snapToGrid w:val="0"/>
        <w:spacing w:line="360" w:lineRule="auto"/>
        <w:ind w:firstLine="2597" w:firstLineChars="1078"/>
        <w:rPr>
          <w:rStyle w:val="14"/>
          <w:rFonts w:asciiTheme="majorEastAsia" w:hAnsiTheme="majorEastAsia" w:eastAsiaTheme="majorEastAsia" w:cstheme="majorEastAsia"/>
          <w:sz w:val="24"/>
        </w:rPr>
      </w:pPr>
    </w:p>
    <w:p>
      <w:pPr>
        <w:snapToGrid w:val="0"/>
        <w:spacing w:line="360" w:lineRule="auto"/>
        <w:ind w:firstLine="2597" w:firstLineChars="1078"/>
        <w:rPr>
          <w:rStyle w:val="14"/>
          <w:rFonts w:asciiTheme="majorEastAsia" w:hAnsiTheme="majorEastAsia" w:eastAsiaTheme="majorEastAsia" w:cstheme="majorEastAsia"/>
          <w:sz w:val="24"/>
        </w:rPr>
      </w:pPr>
      <w:r>
        <w:rPr>
          <w:rStyle w:val="14"/>
          <w:rFonts w:hint="eastAsia" w:asciiTheme="majorEastAsia" w:hAnsiTheme="majorEastAsia" w:eastAsiaTheme="majorEastAsia" w:cstheme="majorEastAsia"/>
          <w:sz w:val="24"/>
        </w:rPr>
        <w:t>技术标准及要求</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一、项目概述</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 项目简介</w:t>
      </w:r>
    </w:p>
    <w:p>
      <w:pPr>
        <w:pStyle w:val="5"/>
        <w:spacing w:after="0" w:line="360" w:lineRule="auto"/>
        <w:ind w:left="396" w:leftChars="-1" w:hanging="398" w:hangingChars="166"/>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本项目采购的货物主要用于给水安装工程。</w:t>
      </w:r>
    </w:p>
    <w:p>
      <w:pPr>
        <w:spacing w:line="360" w:lineRule="auto"/>
        <w:jc w:val="left"/>
        <w:rPr>
          <w:rFonts w:asciiTheme="majorEastAsia" w:hAnsiTheme="majorEastAsia" w:eastAsiaTheme="majorEastAsia" w:cstheme="majorEastAsia"/>
          <w:sz w:val="24"/>
        </w:rPr>
      </w:pPr>
      <w:bookmarkStart w:id="0" w:name="_Toc143047108"/>
      <w:bookmarkStart w:id="1" w:name="_Toc144485035"/>
      <w:r>
        <w:rPr>
          <w:rFonts w:hint="eastAsia" w:asciiTheme="majorEastAsia" w:hAnsiTheme="majorEastAsia" w:eastAsiaTheme="majorEastAsia" w:cstheme="majorEastAsia"/>
          <w:sz w:val="24"/>
        </w:rPr>
        <w:t xml:space="preserve">1.2 </w:t>
      </w:r>
      <w:bookmarkEnd w:id="0"/>
      <w:bookmarkEnd w:id="1"/>
      <w:r>
        <w:rPr>
          <w:rFonts w:hint="eastAsia" w:asciiTheme="majorEastAsia" w:hAnsiTheme="majorEastAsia" w:eastAsiaTheme="majorEastAsia" w:cstheme="majorEastAsia"/>
          <w:sz w:val="24"/>
        </w:rPr>
        <w:t>市场询价货物六角镀锌螺栓、螺母</w:t>
      </w:r>
    </w:p>
    <w:p>
      <w:pPr>
        <w:snapToGrid w:val="0"/>
        <w:spacing w:line="360" w:lineRule="auto"/>
        <w:jc w:val="left"/>
        <w:rPr>
          <w:rFonts w:asciiTheme="majorEastAsia" w:hAnsiTheme="majorEastAsia" w:eastAsiaTheme="majorEastAsia" w:cstheme="majorEastAsia"/>
          <w:color w:val="000000"/>
          <w:sz w:val="24"/>
        </w:rPr>
      </w:pPr>
      <w:r>
        <w:rPr>
          <w:rStyle w:val="14"/>
          <w:rFonts w:hint="eastAsia" w:asciiTheme="majorEastAsia" w:hAnsiTheme="majorEastAsia" w:eastAsiaTheme="majorEastAsia" w:cstheme="majorEastAsia"/>
          <w:b w:val="0"/>
          <w:bCs w:val="0"/>
          <w:sz w:val="24"/>
        </w:rPr>
        <w:t>二</w:t>
      </w:r>
      <w:r>
        <w:rPr>
          <w:rFonts w:hint="eastAsia" w:asciiTheme="majorEastAsia" w:hAnsiTheme="majorEastAsia" w:eastAsiaTheme="majorEastAsia" w:cstheme="majorEastAsia"/>
          <w:color w:val="000000"/>
          <w:sz w:val="24"/>
        </w:rPr>
        <w:t>. 规程、规范</w:t>
      </w:r>
    </w:p>
    <w:p>
      <w:pPr>
        <w:snapToGrid w:val="0"/>
        <w:spacing w:line="360" w:lineRule="auto"/>
        <w:ind w:firstLine="360" w:firstLineChars="15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以下条款有特别规定外，按照《六角螺栓、螺母产品交货一般技术要求》</w:t>
      </w:r>
      <w:r>
        <w:rPr>
          <w:rFonts w:hint="eastAsia" w:asciiTheme="majorEastAsia" w:hAnsiTheme="majorEastAsia" w:eastAsiaTheme="majorEastAsia" w:cstheme="majorEastAsia"/>
          <w:sz w:val="24"/>
        </w:rPr>
        <w:t xml:space="preserve"> GB/T5780-2000</w:t>
      </w:r>
      <w:r>
        <w:rPr>
          <w:rFonts w:hint="eastAsia" w:asciiTheme="majorEastAsia" w:hAnsiTheme="majorEastAsia" w:eastAsiaTheme="majorEastAsia" w:cstheme="majorEastAsia"/>
          <w:color w:val="000000"/>
          <w:sz w:val="24"/>
        </w:rPr>
        <w:t>有关规定执行</w:t>
      </w:r>
    </w:p>
    <w:p>
      <w:pPr>
        <w:snapToGrid w:val="0"/>
        <w:spacing w:line="360" w:lineRule="auto"/>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用于本产品制造及加工所有材料、工艺、质量控制和包装至少符合或超过下列标准和规程规范，但不限于以下标准和规程规范。选用的标准和规程规范按目前已颁布的最新版本执行。</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3098.1-20  紧固件机械性能 螺栓、螺钉和螺柱；</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90.2       紧固件 标志与包装</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5782       六角头螺栓</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5783       六角头螺栓 全螺纹</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5267.1     紧固件 电镀层</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1237       紧固件标记方法</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197        普通螺纹公差与配合</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3103.1-4   紧固件公差</w:t>
      </w:r>
    </w:p>
    <w:p>
      <w:pPr>
        <w:overflowPunct w:val="0"/>
        <w:topLinePunct/>
        <w:spacing w:line="360" w:lineRule="auto"/>
        <w:jc w:val="left"/>
        <w:rPr>
          <w:rStyle w:val="24"/>
          <w:rFonts w:asciiTheme="majorEastAsia" w:hAnsiTheme="majorEastAsia" w:eastAsiaTheme="majorEastAsia" w:cstheme="majorEastAsia"/>
          <w:sz w:val="24"/>
          <w:szCs w:val="24"/>
        </w:rPr>
      </w:pPr>
      <w:r>
        <w:rPr>
          <w:rStyle w:val="24"/>
          <w:rFonts w:hint="eastAsia" w:asciiTheme="majorEastAsia" w:hAnsiTheme="majorEastAsia" w:eastAsiaTheme="majorEastAsia" w:cstheme="majorEastAsia"/>
          <w:sz w:val="24"/>
          <w:szCs w:val="24"/>
        </w:rPr>
        <w:t>GB/T 5779.1-3   紧固件表面缺陷</w:t>
      </w:r>
    </w:p>
    <w:p>
      <w:pPr>
        <w:spacing w:line="360" w:lineRule="auto"/>
        <w:jc w:val="left"/>
        <w:rPr>
          <w:rFonts w:asciiTheme="majorEastAsia" w:hAnsiTheme="majorEastAsia" w:eastAsiaTheme="majorEastAsia" w:cstheme="majorEastAsia"/>
          <w:sz w:val="24"/>
        </w:rPr>
      </w:pPr>
      <w:r>
        <w:rPr>
          <w:rStyle w:val="24"/>
          <w:rFonts w:hint="eastAsia" w:asciiTheme="majorEastAsia" w:hAnsiTheme="majorEastAsia" w:eastAsiaTheme="majorEastAsia" w:cstheme="majorEastAsia"/>
          <w:sz w:val="24"/>
          <w:szCs w:val="24"/>
        </w:rPr>
        <w:t>GB/T 90.1-2     紧固件验收检查、标志与包装</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三、质量及技术要求</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1.六角螺栓、螺母所使用的必须是Q235材质；</w:t>
      </w:r>
    </w:p>
    <w:p>
      <w:pPr>
        <w:spacing w:beforeLines="50" w:afterLines="50"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2.紧固件表面无裂缝、裂纹、凹痕、切痕、皱纹、损伤，以及锈蚀、毛刺、磕碰划伤等缺陷；</w:t>
      </w:r>
    </w:p>
    <w:p>
      <w:pPr>
        <w:spacing w:beforeLines="50" w:afterLines="50"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3.镀锌六角螺栓产品制造、各项技术指标、参数等必须符合国家规定GB/T5780-2000六角螺栓标准。</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4.螺纹规格如（表1）</w:t>
      </w:r>
    </w:p>
    <w:p>
      <w:pPr>
        <w:spacing w:line="360" w:lineRule="auto"/>
        <w:jc w:val="left"/>
        <w:rPr>
          <w:rFonts w:asciiTheme="majorEastAsia" w:hAnsiTheme="majorEastAsia" w:eastAsiaTheme="majorEastAsia" w:cstheme="majorEastAsia"/>
          <w:color w:val="222222"/>
          <w:sz w:val="24"/>
        </w:rPr>
      </w:pPr>
    </w:p>
    <w:p>
      <w:pPr>
        <w:spacing w:line="360" w:lineRule="auto"/>
        <w:ind w:firstLine="3600" w:firstLineChars="1500"/>
        <w:jc w:val="left"/>
        <w:rPr>
          <w:rFonts w:asciiTheme="majorEastAsia" w:hAnsiTheme="majorEastAsia" w:eastAsiaTheme="majorEastAsia" w:cstheme="majorEastAsia"/>
          <w:color w:val="222222"/>
          <w:sz w:val="24"/>
        </w:rPr>
      </w:pPr>
    </w:p>
    <w:p>
      <w:pPr>
        <w:spacing w:line="360" w:lineRule="auto"/>
        <w:ind w:firstLine="4320" w:firstLineChars="1800"/>
        <w:jc w:val="left"/>
        <w:rPr>
          <w:rFonts w:asciiTheme="majorEastAsia" w:hAnsiTheme="majorEastAsia" w:eastAsiaTheme="majorEastAsia" w:cstheme="majorEastAsia"/>
          <w:color w:val="222222"/>
          <w:sz w:val="24"/>
        </w:rPr>
      </w:pPr>
    </w:p>
    <w:p>
      <w:pPr>
        <w:spacing w:line="360" w:lineRule="auto"/>
        <w:ind w:firstLine="4320" w:firstLineChars="1800"/>
        <w:jc w:val="left"/>
        <w:rPr>
          <w:rFonts w:asciiTheme="majorEastAsia" w:hAnsiTheme="majorEastAsia" w:eastAsiaTheme="majorEastAsia" w:cstheme="majorEastAsia"/>
          <w:color w:val="222222"/>
          <w:sz w:val="24"/>
        </w:rPr>
      </w:pPr>
      <w:r>
        <w:rPr>
          <w:rFonts w:hint="eastAsia" w:asciiTheme="majorEastAsia" w:hAnsiTheme="majorEastAsia" w:eastAsiaTheme="majorEastAsia" w:cstheme="majorEastAsia"/>
          <w:color w:val="222222"/>
          <w:sz w:val="24"/>
        </w:rPr>
        <w:t>表一</w:t>
      </w:r>
    </w:p>
    <w:p>
      <w:pPr>
        <w:spacing w:line="360" w:lineRule="auto"/>
        <w:jc w:val="left"/>
        <w:rPr>
          <w:rFonts w:asciiTheme="majorEastAsia" w:hAnsiTheme="majorEastAsia" w:eastAsiaTheme="majorEastAsia" w:cstheme="majorEastAsia"/>
          <w:color w:val="222222"/>
          <w:sz w:val="24"/>
        </w:rPr>
      </w:pPr>
      <w:r>
        <w:rPr>
          <w:rFonts w:hint="eastAsia" w:asciiTheme="majorEastAsia" w:hAnsiTheme="majorEastAsia" w:eastAsiaTheme="majorEastAsia" w:cstheme="majorEastAsia"/>
          <w:color w:val="333333"/>
          <w:kern w:val="0"/>
          <w:sz w:val="24"/>
        </w:rPr>
        <w:drawing>
          <wp:inline distT="0" distB="0" distL="114300" distR="114300">
            <wp:extent cx="5236845" cy="5599430"/>
            <wp:effectExtent l="0" t="0" r="1905" b="1270"/>
            <wp:docPr id="1" name="图片 1" descr="国标GB5780-2000(ISO 4016-1999)(GB 5780-198 C级六角头螺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标GB5780-2000(ISO 4016-1999)(GB 5780-198 C级六角头螺栓"/>
                    <pic:cNvPicPr>
                      <a:picLocks noChangeAspect="1"/>
                    </pic:cNvPicPr>
                  </pic:nvPicPr>
                  <pic:blipFill>
                    <a:blip r:embed="rId4"/>
                    <a:stretch>
                      <a:fillRect/>
                    </a:stretch>
                  </pic:blipFill>
                  <pic:spPr>
                    <a:xfrm>
                      <a:off x="0" y="0"/>
                      <a:ext cx="5236845" cy="5599430"/>
                    </a:xfrm>
                    <a:prstGeom prst="rect">
                      <a:avLst/>
                    </a:prstGeom>
                    <a:noFill/>
                    <a:ln>
                      <a:noFill/>
                    </a:ln>
                  </pic:spPr>
                </pic:pic>
              </a:graphicData>
            </a:graphic>
          </wp:inline>
        </w:drawing>
      </w:r>
    </w:p>
    <w:p>
      <w:pPr>
        <w:spacing w:line="360" w:lineRule="auto"/>
        <w:jc w:val="left"/>
        <w:rPr>
          <w:rStyle w:val="14"/>
          <w:rFonts w:asciiTheme="majorEastAsia" w:hAnsiTheme="majorEastAsia" w:eastAsiaTheme="majorEastAsia" w:cstheme="majorEastAsia"/>
          <w:b w:val="0"/>
          <w:bCs w:val="0"/>
          <w:sz w:val="24"/>
        </w:rPr>
      </w:pPr>
      <w:r>
        <w:rPr>
          <w:rFonts w:hint="eastAsia" w:asciiTheme="majorEastAsia" w:hAnsiTheme="majorEastAsia" w:eastAsiaTheme="majorEastAsia" w:cstheme="majorEastAsia"/>
          <w:sz w:val="24"/>
        </w:rPr>
        <w:t>5.镀锌六角螺母产品制造、各项技术指标、参数等必须符合国家规定GB/T41-2000螺母标准；</w:t>
      </w:r>
    </w:p>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6.</w:t>
      </w:r>
      <w:r>
        <w:rPr>
          <w:rFonts w:hint="eastAsia" w:asciiTheme="majorEastAsia" w:hAnsiTheme="majorEastAsia" w:eastAsiaTheme="majorEastAsia" w:cstheme="majorEastAsia"/>
          <w:sz w:val="24"/>
        </w:rPr>
        <w:t>技术条件和引用标准如表2</w:t>
      </w:r>
    </w:p>
    <w:p>
      <w:pPr>
        <w:spacing w:line="360" w:lineRule="auto"/>
        <w:ind w:firstLine="4440" w:firstLineChars="1850"/>
        <w:jc w:val="left"/>
        <w:rPr>
          <w:rStyle w:val="14"/>
          <w:rFonts w:asciiTheme="majorEastAsia" w:hAnsiTheme="majorEastAsia" w:eastAsiaTheme="majorEastAsia" w:cstheme="majorEastAsia"/>
          <w:b w:val="0"/>
          <w:bCs w:val="0"/>
          <w:sz w:val="24"/>
        </w:rPr>
      </w:pPr>
    </w:p>
    <w:p>
      <w:pPr>
        <w:spacing w:line="360" w:lineRule="auto"/>
        <w:ind w:firstLine="4440" w:firstLineChars="18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表二</w:t>
      </w:r>
    </w:p>
    <w:p>
      <w:pPr>
        <w:spacing w:line="360" w:lineRule="auto"/>
        <w:jc w:val="left"/>
        <w:rPr>
          <w:rStyle w:val="14"/>
          <w:rFonts w:asciiTheme="majorEastAsia" w:hAnsiTheme="majorEastAsia" w:eastAsiaTheme="majorEastAsia" w:cstheme="majorEastAsia"/>
          <w:b w:val="0"/>
          <w:bCs w:val="0"/>
          <w:sz w:val="24"/>
        </w:rPr>
      </w:pPr>
    </w:p>
    <w:tbl>
      <w:tblPr>
        <w:tblStyle w:val="12"/>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5"/>
        <w:gridCol w:w="2149"/>
        <w:gridCol w:w="4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gridSpan w:val="2"/>
            <w:noWrap/>
          </w:tcPr>
          <w:p>
            <w:pPr>
              <w:spacing w:line="360" w:lineRule="auto"/>
              <w:ind w:firstLine="2040" w:firstLineChars="8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材料</w:t>
            </w:r>
          </w:p>
        </w:tc>
        <w:tc>
          <w:tcPr>
            <w:tcW w:w="4916" w:type="dxa"/>
            <w:noWrap/>
          </w:tcPr>
          <w:p>
            <w:pPr>
              <w:spacing w:line="360" w:lineRule="auto"/>
              <w:ind w:firstLine="2280" w:firstLineChars="9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gridSpan w:val="2"/>
            <w:noWrap/>
          </w:tcPr>
          <w:p>
            <w:pPr>
              <w:spacing w:line="360" w:lineRule="auto"/>
              <w:ind w:firstLine="1560" w:firstLineChars="6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通用技术条件</w:t>
            </w:r>
          </w:p>
        </w:tc>
        <w:tc>
          <w:tcPr>
            <w:tcW w:w="4916" w:type="dxa"/>
            <w:noWrap/>
          </w:tcPr>
          <w:p>
            <w:pPr>
              <w:spacing w:line="360" w:lineRule="auto"/>
              <w:ind w:firstLine="1800" w:firstLineChars="7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GB/T16938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restart"/>
            <w:tcBorders>
              <w:right w:val="single" w:color="auto" w:sz="4" w:space="0"/>
            </w:tcBorders>
            <w:noWrap/>
          </w:tcPr>
          <w:p>
            <w:pPr>
              <w:spacing w:line="360" w:lineRule="auto"/>
              <w:ind w:firstLine="960" w:firstLineChars="4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螺纹</w:t>
            </w:r>
          </w:p>
        </w:tc>
        <w:tc>
          <w:tcPr>
            <w:tcW w:w="2149" w:type="dxa"/>
            <w:tcBorders>
              <w:left w:val="single" w:color="auto" w:sz="4" w:space="0"/>
            </w:tcBorders>
            <w:noWrap/>
          </w:tcPr>
          <w:p>
            <w:pPr>
              <w:spacing w:line="360" w:lineRule="auto"/>
              <w:ind w:firstLine="840" w:firstLineChars="3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公差</w:t>
            </w:r>
          </w:p>
        </w:tc>
        <w:tc>
          <w:tcPr>
            <w:tcW w:w="4916" w:type="dxa"/>
            <w:noWrap/>
          </w:tcPr>
          <w:p>
            <w:pPr>
              <w:spacing w:line="360" w:lineRule="auto"/>
              <w:ind w:firstLine="2280" w:firstLineChars="9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7H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continue"/>
            <w:tcBorders>
              <w:right w:val="single" w:color="auto" w:sz="4" w:space="0"/>
            </w:tcBorders>
            <w:noWrap/>
          </w:tcPr>
          <w:p>
            <w:pPr>
              <w:spacing w:line="360" w:lineRule="auto"/>
              <w:jc w:val="left"/>
              <w:rPr>
                <w:rStyle w:val="14"/>
                <w:rFonts w:asciiTheme="majorEastAsia" w:hAnsiTheme="majorEastAsia" w:eastAsiaTheme="majorEastAsia" w:cstheme="majorEastAsia"/>
                <w:b w:val="0"/>
                <w:bCs w:val="0"/>
                <w:sz w:val="24"/>
              </w:rPr>
            </w:pPr>
          </w:p>
        </w:tc>
        <w:tc>
          <w:tcPr>
            <w:tcW w:w="2149" w:type="dxa"/>
            <w:tcBorders>
              <w:left w:val="single" w:color="auto" w:sz="4" w:space="0"/>
            </w:tcBorders>
            <w:noWrap/>
          </w:tcPr>
          <w:p>
            <w:pPr>
              <w:spacing w:line="360" w:lineRule="auto"/>
              <w:ind w:firstLine="840" w:firstLineChars="3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标准</w:t>
            </w:r>
          </w:p>
        </w:tc>
        <w:tc>
          <w:tcPr>
            <w:tcW w:w="4916" w:type="dxa"/>
            <w:noWrap/>
          </w:tcPr>
          <w:p>
            <w:pPr>
              <w:spacing w:line="360" w:lineRule="auto"/>
              <w:ind w:firstLine="1200" w:firstLineChars="5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GB/T 196、GB/T197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restart"/>
            <w:tcBorders>
              <w:right w:val="single" w:color="auto" w:sz="4" w:space="0"/>
            </w:tcBorders>
            <w:noWrap/>
          </w:tcPr>
          <w:p>
            <w:pPr>
              <w:spacing w:line="360" w:lineRule="auto"/>
              <w:ind w:firstLine="600" w:firstLineChars="2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机械性能</w:t>
            </w:r>
          </w:p>
        </w:tc>
        <w:tc>
          <w:tcPr>
            <w:tcW w:w="2149" w:type="dxa"/>
            <w:tcBorders>
              <w:left w:val="single" w:color="auto" w:sz="4" w:space="0"/>
            </w:tcBorders>
            <w:noWrap/>
          </w:tcPr>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等级</w:t>
            </w:r>
          </w:p>
        </w:tc>
        <w:tc>
          <w:tcPr>
            <w:tcW w:w="4916" w:type="dxa"/>
            <w:noWrap/>
          </w:tcPr>
          <w:p>
            <w:pPr>
              <w:spacing w:line="360" w:lineRule="auto"/>
              <w:ind w:firstLine="2040" w:firstLineChars="8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D≤M16:5</w:t>
            </w:r>
          </w:p>
          <w:p>
            <w:pPr>
              <w:spacing w:line="360" w:lineRule="auto"/>
              <w:ind w:firstLine="1560" w:firstLineChars="6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M16&lt;D≤M39:4.5</w:t>
            </w:r>
          </w:p>
          <w:p>
            <w:pPr>
              <w:spacing w:line="360" w:lineRule="auto"/>
              <w:ind w:firstLine="1680" w:firstLineChars="7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D&gt;M39:按协议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continue"/>
            <w:tcBorders>
              <w:right w:val="single" w:color="auto" w:sz="4" w:space="0"/>
            </w:tcBorders>
            <w:noWrap/>
          </w:tcPr>
          <w:p>
            <w:pPr>
              <w:spacing w:line="360" w:lineRule="auto"/>
              <w:jc w:val="left"/>
              <w:rPr>
                <w:rStyle w:val="14"/>
                <w:rFonts w:asciiTheme="majorEastAsia" w:hAnsiTheme="majorEastAsia" w:eastAsiaTheme="majorEastAsia" w:cstheme="majorEastAsia"/>
                <w:b w:val="0"/>
                <w:bCs w:val="0"/>
                <w:sz w:val="24"/>
              </w:rPr>
            </w:pPr>
          </w:p>
        </w:tc>
        <w:tc>
          <w:tcPr>
            <w:tcW w:w="2149" w:type="dxa"/>
            <w:tcBorders>
              <w:left w:val="single" w:color="auto" w:sz="4" w:space="0"/>
            </w:tcBorders>
            <w:noWrap/>
          </w:tcPr>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标准</w:t>
            </w:r>
          </w:p>
        </w:tc>
        <w:tc>
          <w:tcPr>
            <w:tcW w:w="4916" w:type="dxa"/>
            <w:noWrap/>
          </w:tcPr>
          <w:p>
            <w:pPr>
              <w:spacing w:line="360" w:lineRule="auto"/>
              <w:ind w:firstLine="1440" w:firstLineChars="6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d≤M39:GB/T3098.2</w:t>
            </w:r>
          </w:p>
          <w:p>
            <w:pPr>
              <w:spacing w:line="360" w:lineRule="auto"/>
              <w:ind w:firstLine="1680" w:firstLineChars="7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d&gt;M39:按协议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restart"/>
            <w:tcBorders>
              <w:right w:val="single" w:color="auto" w:sz="4" w:space="0"/>
            </w:tcBorders>
            <w:noWrap/>
          </w:tcPr>
          <w:p>
            <w:pPr>
              <w:spacing w:line="360" w:lineRule="auto"/>
              <w:ind w:firstLine="720" w:firstLineChars="3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公差</w:t>
            </w:r>
          </w:p>
        </w:tc>
        <w:tc>
          <w:tcPr>
            <w:tcW w:w="2149" w:type="dxa"/>
            <w:tcBorders>
              <w:left w:val="single" w:color="auto" w:sz="4" w:space="0"/>
            </w:tcBorders>
            <w:noWrap/>
          </w:tcPr>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产品等级</w:t>
            </w:r>
          </w:p>
        </w:tc>
        <w:tc>
          <w:tcPr>
            <w:tcW w:w="4916" w:type="dxa"/>
            <w:noWrap/>
          </w:tcPr>
          <w:p>
            <w:pPr>
              <w:spacing w:line="360" w:lineRule="auto"/>
              <w:ind w:firstLine="2280" w:firstLineChars="95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continue"/>
            <w:tcBorders>
              <w:right w:val="single" w:color="auto" w:sz="4" w:space="0"/>
            </w:tcBorders>
            <w:noWrap/>
          </w:tcPr>
          <w:p>
            <w:pPr>
              <w:spacing w:line="360" w:lineRule="auto"/>
              <w:jc w:val="left"/>
              <w:rPr>
                <w:rStyle w:val="14"/>
                <w:rFonts w:asciiTheme="majorEastAsia" w:hAnsiTheme="majorEastAsia" w:eastAsiaTheme="majorEastAsia" w:cstheme="majorEastAsia"/>
                <w:b w:val="0"/>
                <w:bCs w:val="0"/>
                <w:sz w:val="24"/>
              </w:rPr>
            </w:pPr>
          </w:p>
        </w:tc>
        <w:tc>
          <w:tcPr>
            <w:tcW w:w="2149" w:type="dxa"/>
            <w:tcBorders>
              <w:left w:val="single" w:color="auto" w:sz="4" w:space="0"/>
            </w:tcBorders>
            <w:noWrap/>
          </w:tcPr>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标准</w:t>
            </w:r>
          </w:p>
        </w:tc>
        <w:tc>
          <w:tcPr>
            <w:tcW w:w="4916" w:type="dxa"/>
            <w:noWrap/>
          </w:tcPr>
          <w:p>
            <w:pPr>
              <w:spacing w:line="360" w:lineRule="auto"/>
              <w:ind w:firstLine="1920" w:firstLineChars="8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GB/T3101.1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gridSpan w:val="2"/>
            <w:noWrap/>
          </w:tcPr>
          <w:p>
            <w:pPr>
              <w:spacing w:line="360" w:lineRule="auto"/>
              <w:ind w:firstLine="360" w:firstLineChars="150"/>
              <w:jc w:val="left"/>
              <w:rPr>
                <w:rStyle w:val="14"/>
                <w:rFonts w:asciiTheme="majorEastAsia" w:hAnsiTheme="majorEastAsia" w:eastAsiaTheme="majorEastAsia" w:cstheme="majorEastAsia"/>
                <w:b w:val="0"/>
                <w:bCs w:val="0"/>
                <w:sz w:val="24"/>
              </w:rPr>
            </w:pPr>
          </w:p>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表面处理</w:t>
            </w:r>
          </w:p>
        </w:tc>
        <w:tc>
          <w:tcPr>
            <w:tcW w:w="4916" w:type="dxa"/>
            <w:noWrap/>
          </w:tcPr>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不经处理</w:t>
            </w:r>
          </w:p>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电镀技术要求按GB/T5267</w:t>
            </w:r>
          </w:p>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非点解锌粉覆盖层技术要求按ISO10683。</w:t>
            </w:r>
          </w:p>
          <w:p>
            <w:pPr>
              <w:spacing w:line="360" w:lineRule="auto"/>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如需其他表面镀层或表面处理，应由供需双方协议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gridSpan w:val="2"/>
            <w:noWrap/>
          </w:tcPr>
          <w:p>
            <w:pPr>
              <w:spacing w:line="360" w:lineRule="auto"/>
              <w:ind w:firstLine="1440" w:firstLineChars="6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验收及包装</w:t>
            </w:r>
          </w:p>
        </w:tc>
        <w:tc>
          <w:tcPr>
            <w:tcW w:w="4916" w:type="dxa"/>
            <w:noWrap/>
          </w:tcPr>
          <w:p>
            <w:pPr>
              <w:spacing w:line="360" w:lineRule="auto"/>
              <w:ind w:firstLine="1920" w:firstLineChars="800"/>
              <w:jc w:val="left"/>
              <w:rPr>
                <w:rStyle w:val="14"/>
                <w:rFonts w:asciiTheme="majorEastAsia" w:hAnsiTheme="majorEastAsia" w:eastAsiaTheme="majorEastAsia" w:cstheme="majorEastAsia"/>
                <w:b w:val="0"/>
                <w:bCs w:val="0"/>
                <w:sz w:val="24"/>
              </w:rPr>
            </w:pPr>
            <w:r>
              <w:rPr>
                <w:rStyle w:val="14"/>
                <w:rFonts w:hint="eastAsia" w:asciiTheme="majorEastAsia" w:hAnsiTheme="majorEastAsia" w:eastAsiaTheme="majorEastAsia" w:cstheme="majorEastAsia"/>
                <w:b w:val="0"/>
                <w:bCs w:val="0"/>
                <w:sz w:val="24"/>
              </w:rPr>
              <w:t>GB/T90</w:t>
            </w:r>
          </w:p>
        </w:tc>
      </w:tr>
    </w:tbl>
    <w:p>
      <w:pPr>
        <w:spacing w:line="360" w:lineRule="auto"/>
        <w:jc w:val="left"/>
        <w:rPr>
          <w:rFonts w:asciiTheme="majorEastAsia" w:hAnsiTheme="majorEastAsia" w:eastAsiaTheme="majorEastAsia" w:cstheme="majorEastAsia"/>
          <w:sz w:val="24"/>
        </w:rPr>
      </w:pPr>
      <w:bookmarkStart w:id="2" w:name="_Toc352331898"/>
      <w:r>
        <w:rPr>
          <w:rFonts w:hint="eastAsia" w:asciiTheme="majorEastAsia" w:hAnsiTheme="majorEastAsia" w:eastAsiaTheme="majorEastAsia" w:cstheme="majorEastAsia"/>
          <w:sz w:val="24"/>
        </w:rPr>
        <w:t>7.　使用环境要求</w:t>
      </w:r>
      <w:bookmarkEnd w:id="2"/>
    </w:p>
    <w:p>
      <w:pPr>
        <w:spacing w:beforeLines="50" w:afterLines="50"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a）环境温度： 上限+55℃，下限为-25℃；</w:t>
      </w:r>
    </w:p>
    <w:p>
      <w:pPr>
        <w:spacing w:beforeLines="50" w:afterLines="50"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b）环境湿度：日平均相对湿度：≤95%，月平均相对湿度：≤90%；</w:t>
      </w:r>
    </w:p>
    <w:p>
      <w:pPr>
        <w:spacing w:beforeLines="50" w:afterLines="50"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c) 饱和蒸汽压：日平均值不超过2.2×10</w:t>
      </w:r>
      <w:r>
        <w:rPr>
          <w:rFonts w:hint="eastAsia" w:asciiTheme="majorEastAsia" w:hAnsiTheme="majorEastAsia" w:eastAsiaTheme="majorEastAsia" w:cstheme="majorEastAsia"/>
          <w:sz w:val="24"/>
          <w:vertAlign w:val="superscript"/>
        </w:rPr>
        <w:t>-3</w:t>
      </w:r>
      <w:r>
        <w:rPr>
          <w:rFonts w:hint="eastAsia" w:asciiTheme="majorEastAsia" w:hAnsiTheme="majorEastAsia" w:eastAsiaTheme="majorEastAsia" w:cstheme="majorEastAsia"/>
          <w:sz w:val="24"/>
        </w:rPr>
        <w:t>MPa，月平均值不超过1.8×10</w:t>
      </w:r>
      <w:r>
        <w:rPr>
          <w:rFonts w:hint="eastAsia" w:asciiTheme="majorEastAsia" w:hAnsiTheme="majorEastAsia" w:eastAsiaTheme="majorEastAsia" w:cstheme="majorEastAsia"/>
          <w:sz w:val="24"/>
          <w:vertAlign w:val="superscript"/>
        </w:rPr>
        <w:t>-3</w:t>
      </w:r>
      <w:r>
        <w:rPr>
          <w:rFonts w:hint="eastAsia" w:asciiTheme="majorEastAsia" w:hAnsiTheme="majorEastAsia" w:eastAsiaTheme="majorEastAsia" w:cstheme="majorEastAsia"/>
          <w:sz w:val="24"/>
        </w:rPr>
        <w:t>MPa；</w:t>
      </w:r>
    </w:p>
    <w:p>
      <w:pPr>
        <w:spacing w:beforeLines="50" w:afterLines="50"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d) 海拔高度不超过4 000m；</w:t>
      </w:r>
    </w:p>
    <w:p>
      <w:pPr>
        <w:spacing w:beforeLines="50" w:afterLines="50"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e）没有火灾、爆炸危险、严重污秽、化学腐蚀及剧烈震荡等现象的场所；</w:t>
      </w:r>
    </w:p>
    <w:p>
      <w:pPr>
        <w:spacing w:beforeLines="50" w:afterLines="50"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f）污秽等级：Ⅲ级-重污秽（GB/T 26218.1-2010）；</w:t>
      </w:r>
    </w:p>
    <w:p>
      <w:pPr>
        <w:spacing w:beforeLines="50" w:afterLines="50"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g）无经常性的剧烈振动。</w:t>
      </w:r>
    </w:p>
    <w:p>
      <w:pPr>
        <w:spacing w:beforeLines="50" w:afterLines="50" w:line="360" w:lineRule="auto"/>
        <w:jc w:val="left"/>
        <w:rPr>
          <w:rFonts w:asciiTheme="majorEastAsia" w:hAnsiTheme="majorEastAsia" w:eastAsiaTheme="majorEastAsia" w:cstheme="majorEastAsia"/>
          <w:color w:val="222222"/>
          <w:sz w:val="24"/>
        </w:rPr>
      </w:pPr>
      <w:r>
        <w:rPr>
          <w:rFonts w:hint="eastAsia" w:asciiTheme="majorEastAsia" w:hAnsiTheme="majorEastAsia" w:eastAsiaTheme="majorEastAsia" w:cstheme="majorEastAsia"/>
          <w:sz w:val="24"/>
        </w:rPr>
        <w:t>8.六角螺栓、螺母外表层采用热浸镀锌，镀锌厚度不低于3</w:t>
      </w:r>
      <w:r>
        <w:rPr>
          <w:rFonts w:hint="eastAsia" w:asciiTheme="majorEastAsia" w:hAnsiTheme="majorEastAsia" w:eastAsiaTheme="majorEastAsia" w:cstheme="majorEastAsia"/>
          <w:color w:val="222222"/>
          <w:sz w:val="24"/>
        </w:rPr>
        <w:t>μm。</w:t>
      </w:r>
    </w:p>
    <w:p>
      <w:pPr>
        <w:pStyle w:val="2"/>
        <w:spacing w:line="360" w:lineRule="auto"/>
        <w:rPr>
          <w:rFonts w:eastAsiaTheme="majorEastAsia"/>
        </w:rPr>
      </w:pPr>
      <w:r>
        <w:rPr>
          <w:rFonts w:hint="eastAsia" w:asciiTheme="majorEastAsia" w:hAnsiTheme="majorEastAsia" w:eastAsiaTheme="majorEastAsia" w:cstheme="majorEastAsia"/>
          <w:color w:val="222222"/>
          <w:sz w:val="24"/>
          <w:szCs w:val="24"/>
        </w:rPr>
        <w:t>9.到货螺栓、螺母需同规格型号配套进行连接成套，交付采购人使用。</w:t>
      </w:r>
    </w:p>
    <w:p>
      <w:pPr>
        <w:spacing w:line="360" w:lineRule="auto"/>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四.标志</w:t>
      </w:r>
    </w:p>
    <w:p>
      <w:pPr>
        <w:spacing w:line="360" w:lineRule="auto"/>
        <w:ind w:firstLine="480" w:firstLineChars="20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1.产品标志</w:t>
      </w:r>
    </w:p>
    <w:p>
      <w:pPr>
        <w:spacing w:line="360" w:lineRule="auto"/>
        <w:ind w:firstLine="480" w:firstLineChars="20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螺栓、螺母应标有清晰明显的商标和规格（公称尺寸或者螺栓、螺母规格），螺栓、螺母及材料的标志应清晰完整，能够追溯产品的质量证明。</w:t>
      </w:r>
    </w:p>
    <w:p>
      <w:pPr>
        <w:spacing w:line="360" w:lineRule="auto"/>
        <w:ind w:firstLine="480" w:firstLineChars="20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2.包装标记</w:t>
      </w:r>
    </w:p>
    <w:p>
      <w:pPr>
        <w:spacing w:line="360" w:lineRule="auto"/>
        <w:ind w:firstLine="480" w:firstLineChars="20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包装标记包括：、厂名、厂址、商标、产品名称、规格、数量、重量（每件不超过50Kg）、质量等级、检验员、生产日期、质量承诺书。</w:t>
      </w:r>
    </w:p>
    <w:p>
      <w:pPr>
        <w:spacing w:line="360" w:lineRule="auto"/>
        <w:ind w:firstLine="360" w:firstLineChars="15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3.包装</w:t>
      </w:r>
    </w:p>
    <w:p>
      <w:pPr>
        <w:spacing w:line="360" w:lineRule="auto"/>
        <w:ind w:firstLine="480" w:firstLineChars="20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应采用符合产品特性且适合运输、储存的耐腐蚀包装箱包装，包装整洁无破损，内附合格证，证书标有厂名厂址、检验员签章或代号、检验日期。</w:t>
      </w:r>
    </w:p>
    <w:p>
      <w:pPr>
        <w:spacing w:line="360" w:lineRule="auto"/>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五.运输</w:t>
      </w:r>
    </w:p>
    <w:p>
      <w:pPr>
        <w:spacing w:line="360" w:lineRule="auto"/>
        <w:ind w:firstLine="480" w:firstLineChars="20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产品运输途中应避免暴晒、雨淋、受潮及化学腐蚀。</w:t>
      </w:r>
    </w:p>
    <w:p>
      <w:pPr>
        <w:spacing w:line="360" w:lineRule="auto"/>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六.贮存</w:t>
      </w:r>
    </w:p>
    <w:p>
      <w:pPr>
        <w:spacing w:line="360" w:lineRule="auto"/>
        <w:ind w:firstLine="480" w:firstLineChars="200"/>
        <w:jc w:val="left"/>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产品应贮存在通风良好、干燥的室内，不得与有腐蚀性的物品贮存一室。</w:t>
      </w:r>
    </w:p>
    <w:p>
      <w:pPr>
        <w:spacing w:line="360" w:lineRule="auto"/>
        <w:jc w:val="left"/>
        <w:outlineLvl w:val="1"/>
        <w:rPr>
          <w:rFonts w:asciiTheme="majorEastAsia" w:hAnsiTheme="majorEastAsia" w:eastAsiaTheme="majorEastAsia" w:cstheme="majorEastAsia"/>
          <w:color w:val="000000"/>
          <w:sz w:val="24"/>
        </w:rPr>
      </w:pPr>
      <w:bookmarkStart w:id="3" w:name="_Toc18893"/>
      <w:r>
        <w:rPr>
          <w:rFonts w:hint="eastAsia" w:asciiTheme="majorEastAsia" w:hAnsiTheme="majorEastAsia" w:eastAsiaTheme="majorEastAsia" w:cstheme="majorEastAsia"/>
          <w:color w:val="000000"/>
          <w:sz w:val="24"/>
        </w:rPr>
        <w:t>七.现场验收</w:t>
      </w:r>
      <w:bookmarkEnd w:id="3"/>
    </w:p>
    <w:p>
      <w:pPr>
        <w:spacing w:line="360" w:lineRule="auto"/>
        <w:ind w:firstLine="480" w:firstLineChars="200"/>
        <w:rPr>
          <w:rFonts w:asciiTheme="majorEastAsia" w:hAnsiTheme="majorEastAsia" w:eastAsiaTheme="majorEastAsia" w:cstheme="majorEastAsia"/>
          <w:sz w:val="24"/>
        </w:rPr>
      </w:pPr>
      <w:bookmarkStart w:id="4" w:name="_Toc18209"/>
      <w:r>
        <w:rPr>
          <w:rFonts w:hint="eastAsia" w:asciiTheme="majorEastAsia" w:hAnsiTheme="majorEastAsia" w:eastAsiaTheme="majorEastAsia" w:cstheme="majorEastAsia"/>
          <w:sz w:val="24"/>
        </w:rPr>
        <w:t>1、成交人应根据以上规范、规程和采购人制定规定，货物到达采购人指定的现场后，成交人应按采购人要求卸货并按有关技术规程的规定堆放并按采购方的规定要求进行螺栓、螺母配套安装服务。所有货物必须提供产品合格证，注明出厂日期。成交人和采购方工作人员双方同时在场情况下，采购方进行验收。验收合格后，双方签署验收单。</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2、验收包括：①.需方自行检测；②.需方抽样送第三方检测（检测费用由供方承担）；③.供方出具产品检验合格的证书（该证书不视为对货物质量的最终定论）。</w:t>
      </w:r>
    </w:p>
    <w:p>
      <w:pPr>
        <w:spacing w:line="360" w:lineRule="auto"/>
        <w:jc w:val="left"/>
        <w:outlineLvl w:val="1"/>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八.技术服务</w:t>
      </w:r>
      <w:bookmarkEnd w:id="4"/>
    </w:p>
    <w:p>
      <w:pPr>
        <w:spacing w:line="360" w:lineRule="auto"/>
        <w:ind w:firstLine="480" w:firstLineChars="200"/>
        <w:rPr>
          <w:rFonts w:asciiTheme="majorEastAsia" w:hAnsiTheme="majorEastAsia" w:eastAsiaTheme="majorEastAsia" w:cstheme="majorEastAsia"/>
          <w:sz w:val="24"/>
        </w:rPr>
      </w:pPr>
      <w:bookmarkStart w:id="5" w:name="_Toc12939"/>
      <w:r>
        <w:rPr>
          <w:rFonts w:hint="eastAsia" w:asciiTheme="majorEastAsia" w:hAnsiTheme="majorEastAsia" w:eastAsiaTheme="majorEastAsia" w:cstheme="majorEastAsia"/>
          <w:sz w:val="24"/>
        </w:rPr>
        <w:t>1.采购人有权对产品进行发货前的检验，成交人可酌情邀请采购方人员到制造厂检查制造工艺、原材料质量、产品质量和生产进度。并参加产品出厂试验（但不作为验收），检查合格产品才允许出厂。成交人应为采购人进行上述检查提供便利的条件，其费用由成交人承担。</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2.成交人应保证货物在进行安装、调试等过程中损坏的或有缺陷的零部件可方便得到修理和免费更换。</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 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pStyle w:val="2"/>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4.成交人需在供货安装使用前对采购方的安装施工人员进行现场产品理论、安装使用培训。</w:t>
      </w:r>
    </w:p>
    <w:p>
      <w:pPr>
        <w:pStyle w:val="2"/>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5、成交方应保证供货期内，货物进行安装时，提供技术人员现场指导安装。</w:t>
      </w:r>
    </w:p>
    <w:p>
      <w:pPr>
        <w:spacing w:line="360" w:lineRule="auto"/>
        <w:jc w:val="left"/>
        <w:outlineLvl w:val="1"/>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九.质量保证期内的服务</w:t>
      </w:r>
      <w:bookmarkEnd w:id="5"/>
    </w:p>
    <w:p>
      <w:pPr>
        <w:tabs>
          <w:tab w:val="left" w:pos="640"/>
        </w:tabs>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货物质保期为贰年或按报价人报价承诺期限（至少贰年）。对由于产品质量问题造成的自然损坏，成交人将提供现场服务，免费维修更换损坏的产品。由于采购方人为原因或不可抗原因造成的产品损坏，成交人有义务对损坏的产品作有偿更换。</w:t>
      </w:r>
    </w:p>
    <w:p>
      <w:pPr>
        <w:numPr>
          <w:ilvl w:val="0"/>
          <w:numId w:val="1"/>
        </w:numPr>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交货期、交货地点：1.采购人将每次采购计划提前五个日历日以书面形式传真成交人，成交人收到采购计划后需在当日给予确认回复，如供方未回复的，视为已收到采购人的采购计划，成交人按采购人提供的货物规格、数量五个日历日内到货，延期到货按违约处理。2.成交人负责送达采购人仓库或指定地点（福州市地区）。</w:t>
      </w:r>
    </w:p>
    <w:p>
      <w:pPr>
        <w:numPr>
          <w:ilvl w:val="0"/>
          <w:numId w:val="1"/>
        </w:numPr>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售后服务异议响应期限：本合同所购置的货物售后服务按本次产品相关质量要求和国家规定执行。产品从验收后至保质期满前，若供方产品安装在用户正常使用过程中发生质量问题，成交人应在接到需方通知4小时内负责解决，否则，造成采购方或用户损失的，成交方应承担全部赔偿责任，采购人有权将自行委托其他单位维修，费用由成交人承担。质保期满后，采购人使用产品设备有问题的，向成交人发出通知的，成交人亦应在24小时内作出响应、提供解决方案。</w:t>
      </w:r>
    </w:p>
    <w:p>
      <w:pPr>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十二.付款条件及方式</w:t>
      </w:r>
    </w:p>
    <w:p>
      <w:pPr>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（1）成交人在签订采购合同前</w:t>
      </w:r>
      <w:r>
        <w:rPr>
          <w:rFonts w:hint="eastAsia" w:asciiTheme="majorEastAsia" w:hAnsiTheme="majorEastAsia" w:eastAsiaTheme="majorEastAsia" w:cstheme="majorEastAsia"/>
          <w:sz w:val="24"/>
          <w:lang w:val="zh-CN"/>
        </w:rPr>
        <w:t>三日</w:t>
      </w:r>
      <w:r>
        <w:rPr>
          <w:rFonts w:hint="eastAsia" w:asciiTheme="majorEastAsia" w:hAnsiTheme="majorEastAsia" w:eastAsiaTheme="majorEastAsia" w:cstheme="majorEastAsia"/>
          <w:sz w:val="24"/>
        </w:rPr>
        <w:t>内向采购人缴交合同总金额的 5 %作为履约保证金，双方在本合同履行最后一批次货物验收合格后，履约保证金转为质保金（如成交人提供银行担保的见索即付的独立保函的，采购人在支付成交人第一批货款时应扣留合同总金额的5 %作为质保金），待本合同供货最后一批次货物验收合格后，货物质保期满后产品无质量问题且无违约索赔情况下，质保金无息全额退还成交人。</w:t>
      </w:r>
    </w:p>
    <w:p>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成交人每批次货物经采购人确认到货数量及相关管理部门验收合格后（包括成交人提供该批次货物产品出厂检验证书、合格证书），成交人开具本批次所供货物的含税合规的增值税专用发票（包含税务机关代开），本合同签署的成交人公司名称与发票开具单位及收款单位一致，成交人不得以任何理由在合同执行过程中要求调整发票开具单位或收款单位。成交人提供增值税专用发票必须与采购人办理发票交接手续，无采购人经办人员签认，视为成交人未提供增值税专用发票，如发生增值税专用发票丢失，由成交人承担责任。如因成交人开具的发票不合法或不能认证抵扣进项税额的，成交人同意承担由此给采购人造成的一切损失（包括但不限于税款、滞纳金、行政罚款及相关损失等）。成交人账户必须是合同约定的在主管国税机关备案的账户，若账户变更应及时通知采购人，并签订合同变更或补充合同；如成交人随意改变账户，采购人将拒付货款，由此引起的延期付款责任及相关的损失由成交人承担。如果采购人丢失增值税专用发票联和抵扣联，如已认证相符，成交人应向采购人提供专用发票记账联复印件及主管税务机关出具的《丢失增值税专用发票已报税证明单》；如未经认证，成交人须提供相应专用发票记账联复印件供采购人认证。增值税专用发票必须保持票面干净、整齐, 发票的正反两面均不能留下任何脏、乱及签字的痕迹。采购人在收到发票后按季度计划45个工作日内给予付款。</w:t>
      </w:r>
    </w:p>
    <w:p>
      <w:pPr>
        <w:adjustRightInd w:val="0"/>
        <w:snapToGrid w:val="0"/>
        <w:spacing w:line="360" w:lineRule="auto"/>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十三</w:t>
      </w:r>
      <w:r>
        <w:rPr>
          <w:rFonts w:hint="eastAsia" w:asciiTheme="majorEastAsia" w:hAnsiTheme="majorEastAsia" w:eastAsiaTheme="majorEastAsia" w:cstheme="majorEastAsia"/>
          <w:kern w:val="0"/>
          <w:sz w:val="24"/>
        </w:rPr>
        <w:t>、递交的方式及时间、地点：</w:t>
      </w:r>
    </w:p>
    <w:p>
      <w:pPr>
        <w:widowControl/>
        <w:spacing w:line="360" w:lineRule="auto"/>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材料密封递交，送达截止时间：所有材料应于2021年04月 </w:t>
      </w:r>
      <w:r>
        <w:rPr>
          <w:rFonts w:hint="eastAsia" w:asciiTheme="majorEastAsia" w:hAnsiTheme="majorEastAsia" w:eastAsiaTheme="majorEastAsia" w:cstheme="majorEastAsia"/>
          <w:kern w:val="0"/>
          <w:sz w:val="24"/>
          <w:lang w:val="en-US" w:eastAsia="zh-CN"/>
        </w:rPr>
        <w:t>09</w:t>
      </w:r>
      <w:r>
        <w:rPr>
          <w:rFonts w:hint="eastAsia" w:asciiTheme="majorEastAsia" w:hAnsiTheme="majorEastAsia" w:eastAsiaTheme="majorEastAsia" w:cstheme="majorEastAsia"/>
          <w:kern w:val="0"/>
          <w:sz w:val="24"/>
        </w:rPr>
        <w:t>日17:00（北京时间）之前密封送达（如材料以快件形式递交，应按规定密封后在截止时间前寄达我司），公司具体地址：福州市鼓楼区杨桥西路12号。接收人：高先生，联系电话：0591-83778612。</w:t>
      </w:r>
    </w:p>
    <w:p>
      <w:pPr>
        <w:ind w:firstLine="5740" w:firstLineChars="2050"/>
        <w:jc w:val="left"/>
        <w:rPr>
          <w:sz w:val="28"/>
          <w:szCs w:val="28"/>
        </w:rPr>
      </w:pPr>
    </w:p>
    <w:p>
      <w:pPr>
        <w:jc w:val="left"/>
        <w:rPr>
          <w:sz w:val="28"/>
          <w:szCs w:val="28"/>
        </w:rPr>
      </w:pPr>
    </w:p>
    <w:p>
      <w:pPr>
        <w:ind w:firstLine="4620" w:firstLineChars="1650"/>
        <w:jc w:val="left"/>
        <w:rPr>
          <w:sz w:val="28"/>
          <w:szCs w:val="28"/>
        </w:rPr>
      </w:pPr>
      <w:r>
        <w:rPr>
          <w:rFonts w:hint="eastAsia"/>
          <w:sz w:val="28"/>
          <w:szCs w:val="28"/>
        </w:rPr>
        <w:t>福州市水务工程有限责任公司</w:t>
      </w:r>
    </w:p>
    <w:p>
      <w:pPr>
        <w:jc w:val="left"/>
        <w:rPr>
          <w:sz w:val="28"/>
          <w:szCs w:val="28"/>
        </w:rPr>
      </w:pPr>
      <w:r>
        <w:rPr>
          <w:rFonts w:hint="eastAsia"/>
          <w:sz w:val="28"/>
          <w:szCs w:val="28"/>
        </w:rPr>
        <w:t xml:space="preserve">                                            材料部</w:t>
      </w:r>
    </w:p>
    <w:p>
      <w:pPr>
        <w:ind w:firstLine="5460" w:firstLineChars="1950"/>
        <w:jc w:val="left"/>
        <w:rPr>
          <w:sz w:val="28"/>
          <w:szCs w:val="28"/>
        </w:rPr>
      </w:pPr>
      <w:r>
        <w:rPr>
          <w:rFonts w:hint="eastAsia"/>
          <w:sz w:val="28"/>
          <w:szCs w:val="28"/>
        </w:rPr>
        <w:t>2021年04月0</w:t>
      </w:r>
      <w:r>
        <w:rPr>
          <w:rFonts w:hint="eastAsia"/>
          <w:sz w:val="28"/>
          <w:szCs w:val="28"/>
          <w:lang w:val="en-US" w:eastAsia="zh-CN"/>
        </w:rPr>
        <w:t>6</w:t>
      </w:r>
      <w:bookmarkStart w:id="6" w:name="_GoBack"/>
      <w:bookmarkEnd w:id="6"/>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F1">
    <w:altName w:val="Arial Unicode MS"/>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47757"/>
    <w:multiLevelType w:val="singleLevel"/>
    <w:tmpl w:val="90C47757"/>
    <w:lvl w:ilvl="0" w:tentative="0">
      <w:start w:val="10"/>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3CF6"/>
    <w:rsid w:val="00010149"/>
    <w:rsid w:val="00023359"/>
    <w:rsid w:val="00056B9F"/>
    <w:rsid w:val="000B5D53"/>
    <w:rsid w:val="00196F7B"/>
    <w:rsid w:val="001C77BD"/>
    <w:rsid w:val="00201C63"/>
    <w:rsid w:val="00243E3D"/>
    <w:rsid w:val="00280E6B"/>
    <w:rsid w:val="002A2833"/>
    <w:rsid w:val="003074B5"/>
    <w:rsid w:val="003D041E"/>
    <w:rsid w:val="003F0461"/>
    <w:rsid w:val="003F4E16"/>
    <w:rsid w:val="00405D4C"/>
    <w:rsid w:val="00436CCB"/>
    <w:rsid w:val="004742D2"/>
    <w:rsid w:val="004B12DC"/>
    <w:rsid w:val="004E7C0A"/>
    <w:rsid w:val="004F7F26"/>
    <w:rsid w:val="00504E70"/>
    <w:rsid w:val="00526A44"/>
    <w:rsid w:val="00547D96"/>
    <w:rsid w:val="005D7583"/>
    <w:rsid w:val="006070EA"/>
    <w:rsid w:val="0065763A"/>
    <w:rsid w:val="007A2CFA"/>
    <w:rsid w:val="008616FE"/>
    <w:rsid w:val="00862424"/>
    <w:rsid w:val="0088638E"/>
    <w:rsid w:val="008C6416"/>
    <w:rsid w:val="00A31622"/>
    <w:rsid w:val="00A85A1C"/>
    <w:rsid w:val="00AC2617"/>
    <w:rsid w:val="00C36C46"/>
    <w:rsid w:val="00CB63E2"/>
    <w:rsid w:val="00CB721B"/>
    <w:rsid w:val="00CD5159"/>
    <w:rsid w:val="00D00171"/>
    <w:rsid w:val="00D97A38"/>
    <w:rsid w:val="00DA5C06"/>
    <w:rsid w:val="00DA60F7"/>
    <w:rsid w:val="00DB4AE7"/>
    <w:rsid w:val="00DD3CF6"/>
    <w:rsid w:val="00DE32AC"/>
    <w:rsid w:val="00E87CA3"/>
    <w:rsid w:val="00EF4C38"/>
    <w:rsid w:val="00F00E67"/>
    <w:rsid w:val="00F7652B"/>
    <w:rsid w:val="00F9234D"/>
    <w:rsid w:val="00FF3E92"/>
    <w:rsid w:val="1068293B"/>
    <w:rsid w:val="14AD23C2"/>
    <w:rsid w:val="4FB3753D"/>
    <w:rsid w:val="605B03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4">
    <w:name w:val="annotation text"/>
    <w:basedOn w:val="1"/>
    <w:link w:val="27"/>
    <w:semiHidden/>
    <w:unhideWhenUsed/>
    <w:uiPriority w:val="99"/>
    <w:pPr>
      <w:jc w:val="left"/>
    </w:pPr>
  </w:style>
  <w:style w:type="paragraph" w:styleId="5">
    <w:name w:val="Body Text Indent"/>
    <w:basedOn w:val="1"/>
    <w:link w:val="22"/>
    <w:qFormat/>
    <w:uiPriority w:val="0"/>
    <w:pPr>
      <w:spacing w:after="120"/>
      <w:ind w:left="420" w:leftChars="200"/>
    </w:pPr>
  </w:style>
  <w:style w:type="paragraph" w:styleId="6">
    <w:name w:val="Plain Text"/>
    <w:basedOn w:val="1"/>
    <w:link w:val="20"/>
    <w:qFormat/>
    <w:uiPriority w:val="0"/>
    <w:rPr>
      <w:rFonts w:ascii="宋体" w:hAnsi="Courier New" w:eastAsiaTheme="minorEastAsia" w:cstheme="minorBidi"/>
      <w:szCs w:val="22"/>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4"/>
    <w:next w:val="4"/>
    <w:link w:val="28"/>
    <w:semiHidden/>
    <w:unhideWhenUsed/>
    <w:qFormat/>
    <w:uiPriority w:val="99"/>
    <w:rPr>
      <w:b/>
      <w:bCs/>
    </w:rPr>
  </w:style>
  <w:style w:type="character" w:styleId="14">
    <w:name w:val="Strong"/>
    <w:qFormat/>
    <w:uiPriority w:val="0"/>
    <w:rPr>
      <w:b/>
      <w:bCs/>
    </w:rPr>
  </w:style>
  <w:style w:type="character" w:styleId="15">
    <w:name w:val="annotation reference"/>
    <w:basedOn w:val="13"/>
    <w:semiHidden/>
    <w:unhideWhenUsed/>
    <w:uiPriority w:val="99"/>
    <w:rPr>
      <w:sz w:val="21"/>
      <w:szCs w:val="21"/>
    </w:rPr>
  </w:style>
  <w:style w:type="character" w:customStyle="1" w:styleId="16">
    <w:name w:val="页眉 Char"/>
    <w:basedOn w:val="13"/>
    <w:link w:val="10"/>
    <w:semiHidden/>
    <w:qFormat/>
    <w:uiPriority w:val="99"/>
    <w:rPr>
      <w:sz w:val="18"/>
      <w:szCs w:val="18"/>
    </w:rPr>
  </w:style>
  <w:style w:type="character" w:customStyle="1" w:styleId="17">
    <w:name w:val="页脚 Char"/>
    <w:basedOn w:val="13"/>
    <w:link w:val="9"/>
    <w:semiHidden/>
    <w:qFormat/>
    <w:uiPriority w:val="99"/>
    <w:rPr>
      <w:sz w:val="18"/>
      <w:szCs w:val="18"/>
    </w:rPr>
  </w:style>
  <w:style w:type="paragraph" w:customStyle="1" w:styleId="18">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9">
    <w:name w:val="纯文本 Char"/>
    <w:basedOn w:val="13"/>
    <w:link w:val="6"/>
    <w:qFormat/>
    <w:locked/>
    <w:uiPriority w:val="0"/>
    <w:rPr>
      <w:rFonts w:ascii="宋体" w:hAnsi="Courier New"/>
    </w:rPr>
  </w:style>
  <w:style w:type="character" w:customStyle="1" w:styleId="20">
    <w:name w:val="纯文本 Char1"/>
    <w:basedOn w:val="13"/>
    <w:link w:val="6"/>
    <w:semiHidden/>
    <w:qFormat/>
    <w:uiPriority w:val="99"/>
    <w:rPr>
      <w:rFonts w:ascii="宋体" w:hAnsi="Courier New" w:eastAsia="宋体" w:cs="Courier New"/>
      <w:szCs w:val="21"/>
    </w:rPr>
  </w:style>
  <w:style w:type="character" w:customStyle="1" w:styleId="21">
    <w:name w:val="日期 Char"/>
    <w:basedOn w:val="13"/>
    <w:link w:val="7"/>
    <w:semiHidden/>
    <w:qFormat/>
    <w:uiPriority w:val="99"/>
    <w:rPr>
      <w:rFonts w:ascii="Times New Roman" w:hAnsi="Times New Roman" w:eastAsia="宋体" w:cs="Times New Roman"/>
      <w:szCs w:val="24"/>
    </w:rPr>
  </w:style>
  <w:style w:type="character" w:customStyle="1" w:styleId="22">
    <w:name w:val="正文文本缩进 Char"/>
    <w:basedOn w:val="13"/>
    <w:link w:val="5"/>
    <w:qFormat/>
    <w:uiPriority w:val="0"/>
    <w:rPr>
      <w:rFonts w:ascii="Times New Roman" w:hAnsi="Times New Roman" w:eastAsia="宋体" w:cs="Times New Roman"/>
      <w:szCs w:val="24"/>
    </w:rPr>
  </w:style>
  <w:style w:type="character" w:customStyle="1" w:styleId="23">
    <w:name w:val="标题 1 Char"/>
    <w:basedOn w:val="13"/>
    <w:link w:val="3"/>
    <w:qFormat/>
    <w:uiPriority w:val="0"/>
    <w:rPr>
      <w:rFonts w:ascii="宋体" w:hAnsi="宋体" w:eastAsia="宋体" w:cs="宋体"/>
      <w:b/>
      <w:bCs/>
      <w:kern w:val="36"/>
      <w:sz w:val="48"/>
      <w:szCs w:val="48"/>
    </w:rPr>
  </w:style>
  <w:style w:type="character" w:customStyle="1" w:styleId="24">
    <w:name w:val="数字EU Char"/>
    <w:link w:val="25"/>
    <w:qFormat/>
    <w:uiPriority w:val="0"/>
    <w:rPr>
      <w:rFonts w:ascii="EU-F1"/>
      <w:kern w:val="21"/>
      <w:szCs w:val="21"/>
    </w:rPr>
  </w:style>
  <w:style w:type="paragraph" w:customStyle="1" w:styleId="25">
    <w:name w:val="数字EU"/>
    <w:basedOn w:val="1"/>
    <w:link w:val="24"/>
    <w:qFormat/>
    <w:uiPriority w:val="0"/>
    <w:pPr>
      <w:wordWrap w:val="0"/>
      <w:overflowPunct w:val="0"/>
      <w:topLinePunct/>
    </w:pPr>
    <w:rPr>
      <w:rFonts w:ascii="EU-F1"/>
      <w:kern w:val="21"/>
      <w:szCs w:val="21"/>
    </w:rPr>
  </w:style>
  <w:style w:type="character" w:customStyle="1" w:styleId="26">
    <w:name w:val="批注框文本 Char"/>
    <w:basedOn w:val="13"/>
    <w:link w:val="8"/>
    <w:semiHidden/>
    <w:qFormat/>
    <w:uiPriority w:val="99"/>
    <w:rPr>
      <w:rFonts w:ascii="Times New Roman" w:hAnsi="Times New Roman" w:eastAsia="宋体" w:cs="Times New Roman"/>
      <w:kern w:val="2"/>
      <w:sz w:val="18"/>
      <w:szCs w:val="18"/>
    </w:rPr>
  </w:style>
  <w:style w:type="character" w:customStyle="1" w:styleId="27">
    <w:name w:val="批注文字 Char"/>
    <w:basedOn w:val="13"/>
    <w:link w:val="4"/>
    <w:semiHidden/>
    <w:uiPriority w:val="99"/>
    <w:rPr>
      <w:rFonts w:ascii="Times New Roman" w:hAnsi="Times New Roman" w:eastAsia="宋体" w:cs="Times New Roman"/>
      <w:kern w:val="2"/>
      <w:sz w:val="21"/>
      <w:szCs w:val="24"/>
    </w:rPr>
  </w:style>
  <w:style w:type="character" w:customStyle="1" w:styleId="28">
    <w:name w:val="批注主题 Char"/>
    <w:basedOn w:val="27"/>
    <w:link w:val="11"/>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770</Words>
  <Characters>4394</Characters>
  <Lines>36</Lines>
  <Paragraphs>10</Paragraphs>
  <TotalTime>157</TotalTime>
  <ScaleCrop>false</ScaleCrop>
  <LinksUpToDate>false</LinksUpToDate>
  <CharactersWithSpaces>5154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2018-10-09T01:20:00Z</dcterms:created>
  <dc:creator>ggh</dc:creator>
  <cp:lastModifiedBy>张璟</cp:lastModifiedBy>
  <dcterms:modified xsi:type="dcterms:W3CDTF">2021-04-06T01:16:37Z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