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Style w:val="11"/>
        </w:rPr>
      </w:pPr>
    </w:p>
    <w:p>
      <w:pPr>
        <w:pStyle w:val="3"/>
        <w:jc w:val="center"/>
        <w:rPr>
          <w:sz w:val="44"/>
          <w:szCs w:val="44"/>
        </w:rPr>
      </w:pPr>
      <w:r>
        <w:rPr>
          <w:sz w:val="44"/>
          <w:szCs w:val="44"/>
        </w:rPr>
        <w:t>福州市水务工程有限责任公司给水</w:t>
      </w:r>
      <w:r>
        <w:rPr>
          <w:rFonts w:hint="eastAsia" w:cs="font2-Identity-H"/>
          <w:kern w:val="0"/>
          <w:sz w:val="44"/>
          <w:szCs w:val="44"/>
        </w:rPr>
        <w:t>沟槽式管接件</w:t>
      </w:r>
      <w:r>
        <w:rPr>
          <w:rFonts w:hint="eastAsia"/>
          <w:sz w:val="44"/>
          <w:szCs w:val="44"/>
        </w:rPr>
        <w:t>采购项目</w:t>
      </w:r>
    </w:p>
    <w:p>
      <w:pPr>
        <w:pStyle w:val="3"/>
        <w:jc w:val="center"/>
      </w:pPr>
      <w:r>
        <w:t>市场询价通知</w:t>
      </w:r>
    </w:p>
    <w:p>
      <w:pPr>
        <w:widowControl/>
        <w:spacing w:line="312"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为了方便下一步福州市水务工程有限责任公司</w:t>
      </w:r>
      <w:r>
        <w:rPr>
          <w:rFonts w:hint="eastAsia" w:asciiTheme="minorEastAsia" w:hAnsiTheme="minorEastAsia" w:eastAsiaTheme="minorEastAsia" w:cstheme="minorEastAsia"/>
          <w:sz w:val="21"/>
          <w:szCs w:val="21"/>
        </w:rPr>
        <w:t>给水沟槽式管接件</w:t>
      </w:r>
      <w:r>
        <w:rPr>
          <w:rFonts w:hint="eastAsia" w:asciiTheme="minorEastAsia" w:hAnsiTheme="minorEastAsia" w:eastAsiaTheme="minorEastAsia" w:cstheme="minorEastAsia"/>
          <w:kern w:val="0"/>
          <w:sz w:val="21"/>
          <w:szCs w:val="21"/>
        </w:rPr>
        <w:t>采购项目的采购工作，福州市水务工程有限责任公司现向国内企业进行采购前的市场询价。</w:t>
      </w:r>
    </w:p>
    <w:p>
      <w:pPr>
        <w:widowControl/>
        <w:spacing w:line="560" w:lineRule="exact"/>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一、企业需提供的材料</w:t>
      </w:r>
    </w:p>
    <w:p>
      <w:pPr>
        <w:widowControl/>
        <w:spacing w:line="560" w:lineRule="exact"/>
        <w:ind w:firstLine="315" w:firstLineChars="15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1、企业法人营业执照、税务登记证或三证合一的证书（正副本复印件，原件备查）。</w:t>
      </w:r>
    </w:p>
    <w:p>
      <w:pPr>
        <w:widowControl/>
        <w:spacing w:line="560" w:lineRule="exact"/>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2、联系人姓名，电话（格式自拟）。</w:t>
      </w:r>
    </w:p>
    <w:p>
      <w:pPr>
        <w:widowControl/>
        <w:spacing w:line="600" w:lineRule="exact"/>
        <w:ind w:left="584" w:leftChars="228" w:hanging="105" w:hangingChars="5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r>
        <w:rPr>
          <w:rFonts w:hint="eastAsia" w:asciiTheme="minorEastAsia" w:hAnsiTheme="minorEastAsia" w:eastAsiaTheme="minorEastAsia" w:cstheme="minorEastAsia"/>
          <w:sz w:val="21"/>
          <w:szCs w:val="21"/>
        </w:rPr>
        <w:t>给水沟槽式管接件</w:t>
      </w:r>
      <w:r>
        <w:rPr>
          <w:rFonts w:hint="eastAsia" w:asciiTheme="minorEastAsia" w:hAnsiTheme="minorEastAsia" w:eastAsiaTheme="minorEastAsia" w:cstheme="minorEastAsia"/>
          <w:kern w:val="0"/>
          <w:sz w:val="21"/>
          <w:szCs w:val="21"/>
        </w:rPr>
        <w:t>采购项目的市场价（按询价货物一览表产品型号、规格进行报价）</w:t>
      </w:r>
    </w:p>
    <w:p>
      <w:pPr>
        <w:snapToGrid w:val="0"/>
        <w:spacing w:line="360" w:lineRule="auto"/>
        <w:rPr>
          <w:rFonts w:hint="eastAsia" w:asciiTheme="minorEastAsia" w:hAnsiTheme="minorEastAsia" w:eastAsiaTheme="minorEastAsia" w:cstheme="minorEastAsia"/>
          <w:b w:val="0"/>
          <w:bCs w:val="0"/>
          <w:sz w:val="21"/>
          <w:szCs w:val="21"/>
        </w:rPr>
      </w:pPr>
      <w:r>
        <w:rPr>
          <w:rStyle w:val="11"/>
          <w:rFonts w:hint="eastAsia" w:asciiTheme="minorEastAsia" w:hAnsiTheme="minorEastAsia" w:eastAsiaTheme="minorEastAsia" w:cstheme="minorEastAsia"/>
          <w:b w:val="0"/>
          <w:bCs w:val="0"/>
          <w:sz w:val="21"/>
          <w:szCs w:val="21"/>
        </w:rPr>
        <w:t>二、询价货物一览表：</w:t>
      </w:r>
    </w:p>
    <w:tbl>
      <w:tblPr>
        <w:tblStyle w:val="9"/>
        <w:tblpPr w:leftFromText="180" w:rightFromText="180" w:vertAnchor="text" w:horzAnchor="page" w:tblpX="1040" w:tblpY="149"/>
        <w:tblOverlap w:val="never"/>
        <w:tblW w:w="9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3"/>
        <w:gridCol w:w="1984"/>
        <w:gridCol w:w="1843"/>
        <w:gridCol w:w="1134"/>
        <w:gridCol w:w="1843"/>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567" w:type="dxa"/>
            <w:vAlign w:val="center"/>
          </w:tcPr>
          <w:p>
            <w:pPr>
              <w:pStyle w:val="14"/>
              <w:widowControl w:val="0"/>
              <w:adjustRightInd w:val="0"/>
              <w:spacing w:before="0" w:beforeAutospacing="0" w:after="0" w:afterAutospacing="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合同包</w:t>
            </w:r>
          </w:p>
        </w:tc>
        <w:tc>
          <w:tcPr>
            <w:tcW w:w="993" w:type="dxa"/>
            <w:vAlign w:val="center"/>
          </w:tcPr>
          <w:p>
            <w:pPr>
              <w:pStyle w:val="14"/>
              <w:widowControl w:val="0"/>
              <w:adjustRightInd w:val="0"/>
              <w:spacing w:before="0" w:beforeAutospacing="0" w:after="0" w:afterAutospacing="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品目号</w:t>
            </w:r>
          </w:p>
        </w:tc>
        <w:tc>
          <w:tcPr>
            <w:tcW w:w="1984" w:type="dxa"/>
          </w:tcPr>
          <w:p>
            <w:pPr>
              <w:pStyle w:val="14"/>
              <w:widowControl w:val="0"/>
              <w:adjustRightInd w:val="0"/>
              <w:spacing w:before="0" w:beforeAutospacing="0" w:after="0" w:afterAutospacing="0"/>
              <w:jc w:val="both"/>
              <w:textAlignment w:val="baseline"/>
              <w:rPr>
                <w:rFonts w:hint="eastAsia" w:asciiTheme="minorEastAsia" w:hAnsiTheme="minorEastAsia" w:eastAsiaTheme="minorEastAsia" w:cstheme="minorEastAsia"/>
                <w:kern w:val="2"/>
                <w:sz w:val="21"/>
                <w:szCs w:val="21"/>
              </w:rPr>
            </w:pPr>
          </w:p>
          <w:p>
            <w:pPr>
              <w:pStyle w:val="14"/>
              <w:widowControl w:val="0"/>
              <w:adjustRightInd w:val="0"/>
              <w:spacing w:before="0" w:beforeAutospacing="0" w:after="0" w:afterAutospacing="0"/>
              <w:jc w:val="both"/>
              <w:textAlignment w:val="baseline"/>
              <w:rPr>
                <w:rFonts w:hint="eastAsia" w:asciiTheme="minorEastAsia" w:hAnsiTheme="minorEastAsia" w:eastAsiaTheme="minorEastAsia" w:cstheme="minorEastAsia"/>
                <w:kern w:val="2"/>
                <w:sz w:val="21"/>
                <w:szCs w:val="21"/>
              </w:rPr>
            </w:pPr>
          </w:p>
          <w:p>
            <w:pPr>
              <w:pStyle w:val="14"/>
              <w:widowControl w:val="0"/>
              <w:adjustRightInd w:val="0"/>
              <w:spacing w:before="0" w:beforeAutospacing="0" w:after="0" w:afterAutospacing="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货物名称</w:t>
            </w:r>
          </w:p>
        </w:tc>
        <w:tc>
          <w:tcPr>
            <w:tcW w:w="1843" w:type="dxa"/>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主要技术规格</w:t>
            </w:r>
          </w:p>
        </w:tc>
        <w:tc>
          <w:tcPr>
            <w:tcW w:w="1134" w:type="dxa"/>
          </w:tcPr>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84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报价 </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元/</w:t>
            </w:r>
            <w:r>
              <w:rPr>
                <w:rFonts w:hint="eastAsia" w:asciiTheme="minorEastAsia" w:hAnsiTheme="minorEastAsia" w:eastAsiaTheme="minorEastAsia" w:cstheme="minorEastAsia"/>
                <w:sz w:val="21"/>
                <w:szCs w:val="21"/>
              </w:rPr>
              <w:t>人民币）</w:t>
            </w:r>
          </w:p>
          <w:p>
            <w:pPr>
              <w:jc w:val="center"/>
              <w:rPr>
                <w:rFonts w:hint="eastAsia" w:asciiTheme="minorEastAsia" w:hAnsiTheme="minorEastAsia" w:eastAsiaTheme="minorEastAsia" w:cstheme="minorEastAsia"/>
                <w:kern w:val="0"/>
                <w:sz w:val="21"/>
                <w:szCs w:val="21"/>
              </w:rPr>
            </w:pPr>
          </w:p>
          <w:p>
            <w:pPr>
              <w:rPr>
                <w:rFonts w:hint="eastAsia" w:asciiTheme="minorEastAsia" w:hAnsiTheme="minorEastAsia" w:eastAsiaTheme="minorEastAsia" w:cstheme="minorEastAsia"/>
                <w:kern w:val="0"/>
                <w:sz w:val="21"/>
                <w:szCs w:val="21"/>
              </w:rPr>
            </w:pPr>
          </w:p>
        </w:tc>
        <w:tc>
          <w:tcPr>
            <w:tcW w:w="1499" w:type="dxa"/>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7" w:type="dxa"/>
            <w:vMerge w:val="restart"/>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993" w:type="dxa"/>
            <w:vAlign w:val="center"/>
          </w:tcPr>
          <w:p>
            <w:pPr>
              <w:pStyle w:val="14"/>
              <w:widowControl w:val="0"/>
              <w:adjustRightInd w:val="0"/>
              <w:spacing w:before="0" w:beforeAutospacing="0" w:after="0" w:afterAutospacing="0"/>
              <w:textAlignment w:val="baseline"/>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1-1</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DN65</w:t>
            </w:r>
          </w:p>
        </w:tc>
        <w:tc>
          <w:tcPr>
            <w:tcW w:w="1134" w:type="dxa"/>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restart"/>
            <w:vAlign w:val="center"/>
          </w:tcPr>
          <w:p>
            <w:pPr>
              <w:spacing w:line="460" w:lineRule="exact"/>
              <w:jc w:val="center"/>
              <w:rPr>
                <w:rFonts w:hint="eastAsia" w:asciiTheme="minorEastAsia" w:hAnsiTheme="minorEastAsia" w:eastAsiaTheme="minorEastAsia" w:cstheme="minorEastAsia"/>
                <w:kern w:val="0"/>
                <w:sz w:val="21"/>
                <w:szCs w:val="21"/>
              </w:rPr>
            </w:pPr>
            <w:r>
              <w:rPr>
                <w:rFonts w:hint="eastAsia" w:ascii="新宋体" w:hAnsi="新宋体" w:eastAsia="新宋体" w:cs="新宋体"/>
                <w:kern w:val="2"/>
                <w:sz w:val="21"/>
                <w:szCs w:val="21"/>
              </w:rPr>
              <w:t>报价人填写报价货物</w:t>
            </w:r>
            <w:r>
              <w:rPr>
                <w:rFonts w:hint="eastAsia" w:ascii="新宋体" w:hAnsi="新宋体" w:eastAsia="新宋体" w:cs="新宋体"/>
                <w:sz w:val="21"/>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pStyle w:val="14"/>
              <w:widowControl w:val="0"/>
              <w:adjustRightInd w:val="0"/>
              <w:spacing w:before="0" w:beforeAutospacing="0" w:after="0" w:afterAutospacing="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1-2</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color w:val="000000"/>
                <w:kern w:val="0"/>
                <w:sz w:val="21"/>
                <w:szCs w:val="21"/>
                <w:u w:val="none"/>
                <w:lang w:val="en-US" w:eastAsia="zh-CN" w:bidi="ar"/>
              </w:rPr>
              <w:t>DN80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color w:val="000000"/>
                <w:kern w:val="0"/>
                <w:sz w:val="21"/>
                <w:szCs w:val="21"/>
                <w:u w:val="none"/>
                <w:lang w:val="en-US" w:eastAsia="zh-CN" w:bidi="ar"/>
              </w:rPr>
              <w:t>DN100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color w:val="000000"/>
                <w:kern w:val="0"/>
                <w:sz w:val="21"/>
                <w:szCs w:val="21"/>
                <w:u w:val="none"/>
                <w:lang w:val="en-US" w:eastAsia="zh-CN" w:bidi="ar"/>
              </w:rPr>
              <w:t>DN150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color w:val="000000"/>
                <w:kern w:val="0"/>
                <w:sz w:val="21"/>
                <w:szCs w:val="21"/>
                <w:u w:val="none"/>
                <w:lang w:val="en-US" w:eastAsia="zh-CN" w:bidi="ar"/>
              </w:rPr>
              <w:t>DN200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color w:val="000000"/>
                <w:kern w:val="0"/>
                <w:sz w:val="21"/>
                <w:szCs w:val="21"/>
                <w:u w:val="none"/>
                <w:lang w:val="en-US" w:eastAsia="zh-CN" w:bidi="ar"/>
              </w:rPr>
              <w:t>DN65×90°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DN65×45°</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DN65×22°</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DN65×11°</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DN80×90°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color w:val="000000"/>
                <w:kern w:val="0"/>
                <w:sz w:val="21"/>
                <w:szCs w:val="21"/>
                <w:u w:val="none"/>
                <w:lang w:val="en-US" w:eastAsia="zh-CN" w:bidi="ar"/>
              </w:rPr>
              <w:t>DN80×45°</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DN80×22°</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color w:val="000000"/>
                <w:kern w:val="0"/>
                <w:sz w:val="21"/>
                <w:szCs w:val="21"/>
                <w:u w:val="none"/>
                <w:lang w:val="en-US" w:eastAsia="zh-CN" w:bidi="ar"/>
              </w:rPr>
              <w:t>DN80×11°</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DN100×90°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color w:val="000000"/>
                <w:kern w:val="0"/>
                <w:sz w:val="21"/>
                <w:szCs w:val="21"/>
                <w:u w:val="none"/>
                <w:lang w:val="en-US" w:eastAsia="zh-CN" w:bidi="ar"/>
              </w:rPr>
              <w:t>DN100×45°</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kern w:val="0"/>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1-16</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DN100×22°</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1-17</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color w:val="000000"/>
                <w:kern w:val="0"/>
                <w:sz w:val="21"/>
                <w:szCs w:val="21"/>
                <w:u w:val="none"/>
                <w:lang w:val="en-US" w:eastAsia="zh-CN" w:bidi="ar"/>
              </w:rPr>
              <w:t>DN100×11°</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1-18</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DN150×90°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1-19</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DN150×45°</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1-20</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DN150×22°</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DN150×11°</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DN200×90°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1-23</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DN200×45°</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1-24</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DN200×22°</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1-25</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钢塑卡箍弯头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DN200×11°</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1-26</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钢塑卡箍三通</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DN65×（40~65）</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1-27</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auto"/>
                <w:kern w:val="0"/>
                <w:sz w:val="21"/>
                <w:szCs w:val="21"/>
                <w:u w:val="none"/>
                <w:lang w:val="en-US" w:eastAsia="zh-CN" w:bidi="ar"/>
              </w:rPr>
              <w:t>钢塑卡箍三通</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auto"/>
                <w:kern w:val="0"/>
                <w:sz w:val="21"/>
                <w:szCs w:val="21"/>
                <w:u w:val="none"/>
                <w:lang w:val="en-US" w:eastAsia="zh-CN" w:bidi="ar"/>
              </w:rPr>
              <w:t>DN80×（40~80）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1-28</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钢塑卡箍三通</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DN100×（40~100）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1-29</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钢塑卡箍三通</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DN150×（40~150）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1-30</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钢塑卡箍三通</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DN200×（40~200）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钢塑卡箍异径内接</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DN80×（40~80）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钢塑卡箍异径内接</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DN100×（40~100）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钢塑卡箍异径内接</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DN150×（40~150）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1-34</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钢塑卡箍异径内接</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DN200×（40~200）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auto"/>
                <w:spacing w:val="0"/>
                <w:sz w:val="21"/>
                <w:szCs w:val="21"/>
                <w:shd w:val="clear" w:color="auto" w:fill="auto"/>
              </w:rPr>
              <w:t>钢塑卡箍堵头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DN65</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auto"/>
                <w:spacing w:val="0"/>
                <w:sz w:val="21"/>
                <w:szCs w:val="21"/>
                <w:shd w:val="clear" w:color="auto" w:fill="auto"/>
              </w:rPr>
              <w:t>钢塑卡箍堵头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DN80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1-37</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auto"/>
                <w:spacing w:val="0"/>
                <w:sz w:val="21"/>
                <w:szCs w:val="21"/>
                <w:shd w:val="clear" w:color="auto" w:fill="auto"/>
              </w:rPr>
              <w:t>钢塑卡箍堵头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DN100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auto"/>
                <w:spacing w:val="0"/>
                <w:sz w:val="21"/>
                <w:szCs w:val="21"/>
                <w:shd w:val="clear" w:color="auto" w:fill="auto"/>
              </w:rPr>
              <w:t>钢塑卡箍堵头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DN150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auto"/>
                <w:spacing w:val="0"/>
                <w:sz w:val="21"/>
                <w:szCs w:val="21"/>
                <w:shd w:val="clear" w:color="auto" w:fill="auto"/>
              </w:rPr>
              <w:t>钢塑卡箍堵头</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DN200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1-40</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高径法兰盘</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DN65</w:t>
            </w:r>
          </w:p>
        </w:tc>
        <w:tc>
          <w:tcPr>
            <w:tcW w:w="1134" w:type="dxa"/>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个</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高径法兰盘</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DN80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1个</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高径法兰盘</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DN100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1个</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高径法兰盘</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DN150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1个</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c>
          <w:tcPr>
            <w:tcW w:w="993" w:type="dxa"/>
            <w:vAlign w:val="center"/>
          </w:tcPr>
          <w:p>
            <w:pPr>
              <w:spacing w:line="4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1-44</w:t>
            </w:r>
          </w:p>
        </w:tc>
        <w:tc>
          <w:tcPr>
            <w:tcW w:w="1984"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高径法兰盘</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DN200</w:t>
            </w:r>
          </w:p>
        </w:tc>
        <w:tc>
          <w:tcPr>
            <w:tcW w:w="1134" w:type="dxa"/>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1个</w:t>
            </w:r>
          </w:p>
        </w:tc>
        <w:tc>
          <w:tcPr>
            <w:tcW w:w="1843" w:type="dxa"/>
            <w:vAlign w:val="center"/>
          </w:tcPr>
          <w:p>
            <w:pPr>
              <w:spacing w:line="460" w:lineRule="exact"/>
              <w:jc w:val="center"/>
              <w:rPr>
                <w:rFonts w:hint="eastAsia" w:asciiTheme="minorEastAsia" w:hAnsiTheme="minorEastAsia" w:eastAsiaTheme="minorEastAsia" w:cstheme="minorEastAsia"/>
                <w:sz w:val="21"/>
                <w:szCs w:val="21"/>
              </w:rPr>
            </w:pPr>
          </w:p>
        </w:tc>
        <w:tc>
          <w:tcPr>
            <w:tcW w:w="1499" w:type="dxa"/>
            <w:vMerge w:val="continue"/>
            <w:vAlign w:val="center"/>
          </w:tcPr>
          <w:p>
            <w:pPr>
              <w:spacing w:line="4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9863" w:type="dxa"/>
            <w:gridSpan w:val="7"/>
          </w:tcPr>
          <w:p>
            <w:pPr>
              <w:pStyle w:val="5"/>
              <w:spacing w:line="360" w:lineRule="auto"/>
              <w:rPr>
                <w:rFonts w:hint="eastAsia" w:asciiTheme="minorEastAsia" w:hAnsiTheme="minorEastAsia" w:eastAsiaTheme="minorEastAsia" w:cstheme="minorEastAsia"/>
                <w:sz w:val="21"/>
                <w:szCs w:val="21"/>
              </w:rPr>
            </w:pPr>
            <w:r>
              <w:rPr>
                <w:rFonts w:hint="eastAsia" w:ascii="新宋体" w:hAnsi="新宋体" w:eastAsia="新宋体" w:cs="新宋体"/>
                <w:sz w:val="21"/>
                <w:szCs w:val="21"/>
              </w:rPr>
              <w:t>注明：上述所有货物，报价人的报价应包括设备所涉及的有关项目费用进行报价，包括</w:t>
            </w:r>
            <w:r>
              <w:rPr>
                <w:rFonts w:hint="eastAsia" w:ascii="新宋体" w:hAnsi="新宋体" w:eastAsia="新宋体" w:cs="新宋体"/>
                <w:color w:val="000000"/>
                <w:sz w:val="21"/>
                <w:szCs w:val="21"/>
              </w:rPr>
              <w:t>：货物制造、货物装、卸、运输、税金、劳务、运输、管理、保险、售后服务以及对供货产品抽样送检检测等全部费用，以及所有根据合同或其他原因应由报价人支付的税金和其他应缴的全部费用。本采购项目可能存在的价格波动风险和可合理推断的责任和义务所产生的费用，亦包含在报价中。报价人所报单价在本合同有效期内不因市场价格、利率、汇率、政策及其他任何风险因素而有所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863" w:type="dxa"/>
            <w:gridSpan w:val="7"/>
          </w:tcPr>
          <w:p>
            <w:pPr>
              <w:ind w:firstLine="3356" w:firstLineChars="1592"/>
              <w:rPr>
                <w:rStyle w:val="11"/>
                <w:rFonts w:hint="eastAsia" w:asciiTheme="minorEastAsia" w:hAnsiTheme="minorEastAsia" w:eastAsiaTheme="minorEastAsia" w:cstheme="minorEastAsia"/>
                <w:b w:val="0"/>
                <w:bCs w:val="0"/>
                <w:sz w:val="21"/>
                <w:szCs w:val="21"/>
              </w:rPr>
            </w:pPr>
            <w:r>
              <w:rPr>
                <w:rStyle w:val="11"/>
                <w:rFonts w:hint="eastAsia" w:asciiTheme="minorEastAsia" w:hAnsiTheme="minorEastAsia" w:eastAsiaTheme="minorEastAsia" w:cstheme="minorEastAsia"/>
                <w:sz w:val="21"/>
                <w:szCs w:val="21"/>
              </w:rPr>
              <w:t>技术标准要求</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一、项目概述</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 项目简介</w:t>
            </w:r>
          </w:p>
          <w:p>
            <w:pPr>
              <w:pStyle w:val="4"/>
              <w:spacing w:after="0" w:line="360" w:lineRule="auto"/>
              <w:ind w:left="346" w:leftChars="-1" w:hanging="348" w:hangingChars="16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本项目采购的货物主要用于给水安装工程。</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询价货物给水沟槽式管接件</w:t>
            </w:r>
          </w:p>
          <w:p>
            <w:pPr>
              <w:snapToGrid w:val="0"/>
              <w:spacing w:line="360" w:lineRule="auto"/>
              <w:rPr>
                <w:rFonts w:hint="eastAsia" w:asciiTheme="minorEastAsia" w:hAnsiTheme="minorEastAsia" w:eastAsiaTheme="minorEastAsia" w:cstheme="minorEastAsia"/>
                <w:bCs/>
                <w:color w:val="000000"/>
                <w:sz w:val="21"/>
                <w:szCs w:val="21"/>
              </w:rPr>
            </w:pPr>
            <w:r>
              <w:rPr>
                <w:rStyle w:val="11"/>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bCs/>
                <w:color w:val="000000"/>
                <w:sz w:val="21"/>
                <w:szCs w:val="21"/>
              </w:rPr>
              <w:t xml:space="preserve"> 规程、规范</w:t>
            </w:r>
          </w:p>
          <w:p>
            <w:pPr>
              <w:snapToGrid w:val="0"/>
              <w:spacing w:line="360" w:lineRule="auto"/>
              <w:ind w:firstLine="315" w:firstLineChars="15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以下条款有特别规定外，《</w:t>
            </w:r>
            <w:r>
              <w:rPr>
                <w:rFonts w:hint="eastAsia" w:asciiTheme="minorEastAsia" w:hAnsiTheme="minorEastAsia" w:eastAsiaTheme="minorEastAsia" w:cstheme="minorEastAsia"/>
                <w:kern w:val="0"/>
                <w:sz w:val="21"/>
                <w:szCs w:val="21"/>
              </w:rPr>
              <w:t>沟槽式管接件</w:t>
            </w:r>
            <w:r>
              <w:rPr>
                <w:rFonts w:hint="eastAsia" w:asciiTheme="minorEastAsia" w:hAnsiTheme="minorEastAsia" w:eastAsiaTheme="minorEastAsia" w:cstheme="minorEastAsia"/>
                <w:bCs/>
                <w:color w:val="000000"/>
                <w:sz w:val="21"/>
                <w:szCs w:val="21"/>
              </w:rPr>
              <w:t>》</w:t>
            </w:r>
            <w:r>
              <w:rPr>
                <w:rFonts w:hint="eastAsia" w:asciiTheme="minorEastAsia" w:hAnsiTheme="minorEastAsia" w:eastAsiaTheme="minorEastAsia" w:cstheme="minorEastAsia"/>
                <w:sz w:val="21"/>
                <w:szCs w:val="21"/>
              </w:rPr>
              <w:t>应按国家标准GB5135.11-2006</w:t>
            </w:r>
            <w:r>
              <w:rPr>
                <w:rFonts w:hint="eastAsia" w:asciiTheme="minorEastAsia" w:hAnsiTheme="minorEastAsia" w:eastAsiaTheme="minorEastAsia" w:cstheme="minorEastAsia"/>
                <w:bCs/>
                <w:color w:val="000000"/>
                <w:sz w:val="21"/>
                <w:szCs w:val="21"/>
              </w:rPr>
              <w:t>有关规定执行</w:t>
            </w:r>
          </w:p>
          <w:p>
            <w:pPr>
              <w:snapToGrid w:val="0"/>
              <w:spacing w:line="360" w:lineRule="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用于本产品制造及加工所有材料、工艺、质量控制和包装至少符合或超过下列标准和规程规范，但不限于以下标准和规程规范。选用的标准和规程规范按目前已颁布的最新版本执行。</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GB/T 191 包装储运图示标志</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GB/T 528 硫化橡胶或热塑性橡胶拉伸应力应变性能的测定（GB/T 528—1998eqv ISO37: 1994）</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GB/T 531 橡胶袖珍硬度计压入硬度试验方法（GB/T 531—1999idt ISO 7619: 1986）</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GB/T 1690 硫化橡胶耐液体试验方法（GB/T 1690—1992  neq ISO 1817: 1985）</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GB/T 3098.1 紧固件机械性能 螺栓、螺钉和螺柱（GB/T 3098.1—2000 idt ISO 898-1:1999）</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GB/T 3098.2 紧固件机械性能 螺母、粗牙螺纹（GB/T 3098.2—2000 idt ISO 898-2:1999）</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GB/T 3512 硫化橡胶或热塑性橡胶 热空气加速老化和耐热试验（GB/T 3512—2001 eqv ISO 188: 1998）</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GB/T 7759 硫化橡胶 热塑性常温、高温和低温压缩永久变形测定（GB/T 7759—1996eqv ISO 815: 1991）</w:t>
            </w:r>
          </w:p>
          <w:p>
            <w:pPr>
              <w:snapToGrid w:val="0"/>
              <w:spacing w:line="360" w:lineRule="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kern w:val="0"/>
                <w:sz w:val="21"/>
                <w:szCs w:val="21"/>
              </w:rPr>
              <w:t>GB/T 8262 圆头椭圆颈螺栓</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三、给水</w:t>
            </w:r>
            <w:r>
              <w:rPr>
                <w:rFonts w:hint="eastAsia" w:asciiTheme="minorEastAsia" w:hAnsiTheme="minorEastAsia" w:eastAsiaTheme="minorEastAsia" w:cstheme="minorEastAsia"/>
                <w:kern w:val="0"/>
                <w:sz w:val="21"/>
                <w:szCs w:val="21"/>
              </w:rPr>
              <w:t>沟槽式管接件</w:t>
            </w:r>
            <w:r>
              <w:rPr>
                <w:rFonts w:hint="eastAsia" w:asciiTheme="minorEastAsia" w:hAnsiTheme="minorEastAsia" w:eastAsiaTheme="minorEastAsia" w:cstheme="minorEastAsia"/>
                <w:sz w:val="21"/>
                <w:szCs w:val="21"/>
              </w:rPr>
              <w:t>要求</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kern w:val="0"/>
                <w:sz w:val="21"/>
                <w:szCs w:val="21"/>
              </w:rPr>
              <w:t>壳体材料</w:t>
            </w:r>
            <w:r>
              <w:rPr>
                <w:rFonts w:hint="eastAsia" w:asciiTheme="minorEastAsia" w:hAnsiTheme="minorEastAsia" w:eastAsiaTheme="minorEastAsia" w:cstheme="minorEastAsia"/>
                <w:sz w:val="21"/>
                <w:szCs w:val="21"/>
              </w:rPr>
              <w:t>：产品采用球墨铸铁（不低于QT450-12）、锻钢等，采用其他不低于球墨铸铁（QT450-12）的抗拉强度和抗腐蚀性的材料，应符合相应的国家标准；</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kern w:val="0"/>
                <w:sz w:val="21"/>
                <w:szCs w:val="21"/>
              </w:rPr>
              <w:t>外观：</w:t>
            </w:r>
            <w:r>
              <w:rPr>
                <w:rFonts w:hint="eastAsia" w:asciiTheme="minorEastAsia" w:hAnsiTheme="minorEastAsia" w:eastAsiaTheme="minorEastAsia" w:cstheme="minorEastAsia"/>
                <w:sz w:val="21"/>
                <w:szCs w:val="21"/>
              </w:rPr>
              <w:t>给水沟槽式管接件表面应平整光洁，无加工缺陷及磕碰损伤，无裂纹缩孔、冷隔、夹渣、气孔、疤痕等现象；涂层均匀牢固，无气泡或漆块堆积；橡胶密封圈密封面上不应有气泡、杂质、裂口和凹凸不平等缺陷，标志齐全清晰。</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3、沟槽式管件的额定工作压力不得低于1.6MPa压力等级；</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4、真空度（负压密封性）</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在真空度达到0.08MPa时，保持5min，应无真空压损失。</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5、气密封性能</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进行气密封性能试验，在充气压力达到0.3MPa时，保持5min，试件表面应无气泡渗漏。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6、密封性能</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6.1橡胶密封圈使用的材料不应含有对其使用寿命及对输送管路和零配件有危害的物质。橡胶密封圈产品采用三元乙丙橡胶密封圈、丁晴橡胶密封圈；橡胶密封圈物理机械应符合GB/T531和GB/T7759国家标准（在表1、表2规定的物理机械性能）,橡胶的热空气老化应符合GB/T3512国家标准，橡胶的耐液体浸渍应符合GB/T1690国家标准；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表1  三元乙丙橡胶封圈的物理机械性能</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2636"/>
              <w:gridCol w:w="263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Pr>
                <w:p>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5274" w:type="dxa"/>
                  <w:gridSpan w:val="2"/>
                </w:tcPr>
                <w:p>
                  <w:pPr>
                    <w:spacing w:line="360" w:lineRule="auto"/>
                    <w:ind w:firstLine="1260" w:firstLineChars="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试验项目</w:t>
                  </w:r>
                </w:p>
              </w:tc>
              <w:tc>
                <w:tcPr>
                  <w:tcW w:w="2835" w:type="dxa"/>
                </w:tcPr>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三元乙丙橡胶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5274" w:type="dxa"/>
                  <w:gridSpan w:val="2"/>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硬度/shoroa A</w:t>
                  </w:r>
                </w:p>
              </w:tc>
              <w:tc>
                <w:tcPr>
                  <w:tcW w:w="2835" w:type="dxa"/>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65±5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5274" w:type="dxa"/>
                  <w:gridSpan w:val="2"/>
                </w:tcPr>
                <w:p>
                  <w:pPr>
                    <w:spacing w:line="360" w:lineRule="auto"/>
                    <w:ind w:firstLine="1050" w:firstLineChars="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拉伸强度/MPa</w:t>
                  </w:r>
                </w:p>
              </w:tc>
              <w:tc>
                <w:tcPr>
                  <w:tcW w:w="2835" w:type="dxa"/>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5274" w:type="dxa"/>
                  <w:gridSpan w:val="2"/>
                  <w:tcBorders>
                    <w:bottom w:val="single" w:color="auto" w:sz="4" w:space="0"/>
                  </w:tcBorders>
                </w:tcPr>
                <w:p>
                  <w:pPr>
                    <w:spacing w:line="360" w:lineRule="auto"/>
                    <w:ind w:firstLine="1050" w:firstLineChars="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扯断伸长率/%</w:t>
                  </w:r>
                </w:p>
              </w:tc>
              <w:tc>
                <w:tcPr>
                  <w:tcW w:w="2835" w:type="dxa"/>
                  <w:tcBorders>
                    <w:bottom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1242" w:type="dxa"/>
                  <w:vMerge w:val="restart"/>
                </w:tcPr>
                <w:p>
                  <w:pPr>
                    <w:spacing w:line="360" w:lineRule="auto"/>
                    <w:ind w:firstLine="945" w:firstLineChars="450"/>
                    <w:rPr>
                      <w:rFonts w:hint="eastAsia" w:asciiTheme="minorEastAsia" w:hAnsiTheme="minorEastAsia" w:eastAsiaTheme="minorEastAsia" w:cstheme="minorEastAsia"/>
                      <w:sz w:val="21"/>
                      <w:szCs w:val="21"/>
                    </w:rPr>
                  </w:pPr>
                </w:p>
                <w:p>
                  <w:pPr>
                    <w:spacing w:line="360" w:lineRule="auto"/>
                    <w:ind w:firstLine="945" w:firstLineChars="450"/>
                    <w:rPr>
                      <w:rFonts w:hint="eastAsia" w:asciiTheme="minorEastAsia" w:hAnsiTheme="minorEastAsia" w:eastAsiaTheme="minorEastAsia" w:cstheme="minorEastAsia"/>
                      <w:sz w:val="21"/>
                      <w:szCs w:val="21"/>
                    </w:rPr>
                  </w:pPr>
                </w:p>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636" w:type="dxa"/>
                  <w:vMerge w:val="restart"/>
                  <w:tcBorders>
                    <w:right w:val="single" w:color="auto" w:sz="4" w:space="0"/>
                  </w:tcBorders>
                </w:tcPr>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热空气老化后</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（125°C±2°C）×70h</w:t>
                  </w:r>
                </w:p>
              </w:tc>
              <w:tc>
                <w:tcPr>
                  <w:tcW w:w="2638" w:type="dxa"/>
                  <w:tcBorders>
                    <w:left w:val="single" w:color="auto" w:sz="4" w:space="0"/>
                    <w:bottom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拉伸强度变化率/%</w:t>
                  </w:r>
                </w:p>
              </w:tc>
              <w:tc>
                <w:tcPr>
                  <w:tcW w:w="2835" w:type="dxa"/>
                  <w:tcBorders>
                    <w:bottom w:val="single" w:color="auto" w:sz="4" w:space="0"/>
                  </w:tcBorders>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242" w:type="dxa"/>
                  <w:vMerge w:val="continue"/>
                </w:tcPr>
                <w:p>
                  <w:pPr>
                    <w:spacing w:line="360" w:lineRule="auto"/>
                    <w:ind w:firstLine="945" w:firstLineChars="450"/>
                    <w:rPr>
                      <w:rFonts w:hint="eastAsia" w:asciiTheme="minorEastAsia" w:hAnsiTheme="minorEastAsia" w:eastAsiaTheme="minorEastAsia" w:cstheme="minorEastAsia"/>
                      <w:sz w:val="21"/>
                      <w:szCs w:val="21"/>
                    </w:rPr>
                  </w:pPr>
                </w:p>
              </w:tc>
              <w:tc>
                <w:tcPr>
                  <w:tcW w:w="2636" w:type="dxa"/>
                  <w:vMerge w:val="continue"/>
                  <w:tcBorders>
                    <w:right w:val="single" w:color="auto" w:sz="4" w:space="0"/>
                  </w:tcBorders>
                </w:tcPr>
                <w:p>
                  <w:pPr>
                    <w:spacing w:line="360" w:lineRule="auto"/>
                    <w:rPr>
                      <w:rFonts w:hint="eastAsia" w:asciiTheme="minorEastAsia" w:hAnsiTheme="minorEastAsia" w:eastAsiaTheme="minorEastAsia" w:cstheme="minorEastAsia"/>
                      <w:sz w:val="21"/>
                      <w:szCs w:val="21"/>
                    </w:rPr>
                  </w:pPr>
                </w:p>
              </w:tc>
              <w:tc>
                <w:tcPr>
                  <w:tcW w:w="2638" w:type="dxa"/>
                  <w:tcBorders>
                    <w:top w:val="single" w:color="auto" w:sz="4" w:space="0"/>
                    <w:left w:val="single" w:color="auto" w:sz="4" w:space="0"/>
                    <w:bottom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伸长变化率/%</w:t>
                  </w:r>
                </w:p>
              </w:tc>
              <w:tc>
                <w:tcPr>
                  <w:tcW w:w="2835" w:type="dxa"/>
                  <w:tcBorders>
                    <w:top w:val="single" w:color="auto" w:sz="4" w:space="0"/>
                    <w:bottom w:val="single" w:color="auto" w:sz="4" w:space="0"/>
                  </w:tcBorders>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1242" w:type="dxa"/>
                  <w:vMerge w:val="continue"/>
                </w:tcPr>
                <w:p>
                  <w:pPr>
                    <w:spacing w:line="360" w:lineRule="auto"/>
                    <w:ind w:firstLine="945" w:firstLineChars="450"/>
                    <w:rPr>
                      <w:rFonts w:hint="eastAsia" w:asciiTheme="minorEastAsia" w:hAnsiTheme="minorEastAsia" w:eastAsiaTheme="minorEastAsia" w:cstheme="minorEastAsia"/>
                      <w:sz w:val="21"/>
                      <w:szCs w:val="21"/>
                    </w:rPr>
                  </w:pPr>
                </w:p>
              </w:tc>
              <w:tc>
                <w:tcPr>
                  <w:tcW w:w="2636" w:type="dxa"/>
                  <w:vMerge w:val="continue"/>
                  <w:tcBorders>
                    <w:right w:val="single" w:color="auto" w:sz="4" w:space="0"/>
                  </w:tcBorders>
                </w:tcPr>
                <w:p>
                  <w:pPr>
                    <w:spacing w:line="360" w:lineRule="auto"/>
                    <w:rPr>
                      <w:rFonts w:hint="eastAsia" w:asciiTheme="minorEastAsia" w:hAnsiTheme="minorEastAsia" w:eastAsiaTheme="minorEastAsia" w:cstheme="minorEastAsia"/>
                      <w:sz w:val="21"/>
                      <w:szCs w:val="21"/>
                    </w:rPr>
                  </w:pPr>
                </w:p>
              </w:tc>
              <w:tc>
                <w:tcPr>
                  <w:tcW w:w="2638" w:type="dxa"/>
                  <w:tcBorders>
                    <w:top w:val="single" w:color="auto" w:sz="4" w:space="0"/>
                    <w:left w:val="single" w:color="auto" w:sz="4" w:space="0"/>
                    <w:bottom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硬度变化率/度</w:t>
                  </w:r>
                </w:p>
              </w:tc>
              <w:tc>
                <w:tcPr>
                  <w:tcW w:w="2835" w:type="dxa"/>
                  <w:tcBorders>
                    <w:top w:val="single" w:color="auto" w:sz="4" w:space="0"/>
                    <w:bottom w:val="single" w:color="auto" w:sz="4" w:space="0"/>
                  </w:tcBorders>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1242" w:type="dxa"/>
                  <w:vMerge w:val="continue"/>
                </w:tcPr>
                <w:p>
                  <w:pPr>
                    <w:spacing w:line="360" w:lineRule="auto"/>
                    <w:ind w:firstLine="945" w:firstLineChars="450"/>
                    <w:rPr>
                      <w:rFonts w:hint="eastAsia" w:asciiTheme="minorEastAsia" w:hAnsiTheme="minorEastAsia" w:eastAsiaTheme="minorEastAsia" w:cstheme="minorEastAsia"/>
                      <w:sz w:val="21"/>
                      <w:szCs w:val="21"/>
                    </w:rPr>
                  </w:pPr>
                </w:p>
              </w:tc>
              <w:tc>
                <w:tcPr>
                  <w:tcW w:w="2636" w:type="dxa"/>
                  <w:vMerge w:val="continue"/>
                  <w:tcBorders>
                    <w:right w:val="single" w:color="auto" w:sz="4" w:space="0"/>
                  </w:tcBorders>
                </w:tcPr>
                <w:p>
                  <w:pPr>
                    <w:spacing w:line="360" w:lineRule="auto"/>
                    <w:rPr>
                      <w:rFonts w:hint="eastAsia" w:asciiTheme="minorEastAsia" w:hAnsiTheme="minorEastAsia" w:eastAsiaTheme="minorEastAsia" w:cstheme="minorEastAsia"/>
                      <w:sz w:val="21"/>
                      <w:szCs w:val="21"/>
                    </w:rPr>
                  </w:pPr>
                </w:p>
              </w:tc>
              <w:tc>
                <w:tcPr>
                  <w:tcW w:w="2638" w:type="dxa"/>
                  <w:tcBorders>
                    <w:top w:val="single" w:color="auto" w:sz="4" w:space="0"/>
                    <w:left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压缩永久变形/%</w:t>
                  </w:r>
                </w:p>
              </w:tc>
              <w:tc>
                <w:tcPr>
                  <w:tcW w:w="2835" w:type="dxa"/>
                  <w:tcBorders>
                    <w:top w:val="single" w:color="auto" w:sz="4" w:space="0"/>
                  </w:tcBorders>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r>
          </w:tbl>
          <w:p>
            <w:pPr>
              <w:spacing w:line="360" w:lineRule="auto"/>
              <w:ind w:firstLine="1890" w:firstLineChars="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表2  丁晴橡胶密封圈的物理机械性能</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2670"/>
              <w:gridCol w:w="2604"/>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5274" w:type="dxa"/>
                  <w:gridSpan w:val="2"/>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试验项目</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丁晴橡胶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5274" w:type="dxa"/>
                  <w:gridSpan w:val="2"/>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硬度/shoroa A</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5274" w:type="dxa"/>
                  <w:gridSpan w:val="2"/>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拉伸强度/MPa</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5274" w:type="dxa"/>
                  <w:gridSpan w:val="2"/>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扯断伸长率/%</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1242" w:type="dxa"/>
                  <w:vMerge w:val="restart"/>
                  <w:tcBorders>
                    <w:top w:val="single" w:color="auto" w:sz="4" w:space="0"/>
                    <w:left w:val="single" w:color="auto" w:sz="4" w:space="0"/>
                    <w:bottom w:val="single" w:color="auto" w:sz="4" w:space="0"/>
                    <w:right w:val="single" w:color="auto" w:sz="4" w:space="0"/>
                  </w:tcBorders>
                </w:tcPr>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670" w:type="dxa"/>
                  <w:vMerge w:val="restart"/>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sz w:val="21"/>
                      <w:szCs w:val="21"/>
                    </w:rPr>
                  </w:pPr>
                </w:p>
              </w:tc>
              <w:tc>
                <w:tcPr>
                  <w:tcW w:w="2604"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拉伸强度变化率%</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1242" w:type="dxa"/>
                  <w:vMerge w:val="continue"/>
                  <w:tcBorders>
                    <w:top w:val="single" w:color="auto" w:sz="4" w:space="0"/>
                    <w:left w:val="single" w:color="auto" w:sz="4" w:space="0"/>
                    <w:bottom w:val="single" w:color="auto" w:sz="4" w:space="0"/>
                    <w:right w:val="single" w:color="auto" w:sz="4" w:space="0"/>
                  </w:tcBorders>
                </w:tcPr>
                <w:p>
                  <w:pPr>
                    <w:spacing w:line="360" w:lineRule="auto"/>
                    <w:ind w:firstLine="315" w:firstLineChars="150"/>
                    <w:rPr>
                      <w:rFonts w:hint="eastAsia" w:asciiTheme="minorEastAsia" w:hAnsiTheme="minorEastAsia" w:eastAsiaTheme="minorEastAsia" w:cstheme="minorEastAsia"/>
                      <w:sz w:val="21"/>
                      <w:szCs w:val="21"/>
                    </w:rPr>
                  </w:pPr>
                </w:p>
              </w:tc>
              <w:tc>
                <w:tcPr>
                  <w:tcW w:w="2670" w:type="dxa"/>
                  <w:vMerge w:val="continue"/>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sz w:val="21"/>
                      <w:szCs w:val="21"/>
                    </w:rPr>
                  </w:pPr>
                </w:p>
              </w:tc>
              <w:tc>
                <w:tcPr>
                  <w:tcW w:w="2604"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伸长变化率/%</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42" w:type="dxa"/>
                  <w:vMerge w:val="continue"/>
                  <w:tcBorders>
                    <w:top w:val="single" w:color="auto" w:sz="4" w:space="0"/>
                    <w:left w:val="single" w:color="auto" w:sz="4" w:space="0"/>
                    <w:bottom w:val="single" w:color="auto" w:sz="4" w:space="0"/>
                    <w:right w:val="single" w:color="auto" w:sz="4" w:space="0"/>
                  </w:tcBorders>
                </w:tcPr>
                <w:p>
                  <w:pPr>
                    <w:spacing w:line="360" w:lineRule="auto"/>
                    <w:ind w:firstLine="315" w:firstLineChars="150"/>
                    <w:rPr>
                      <w:rFonts w:hint="eastAsia" w:asciiTheme="minorEastAsia" w:hAnsiTheme="minorEastAsia" w:eastAsiaTheme="minorEastAsia" w:cstheme="minorEastAsia"/>
                      <w:sz w:val="21"/>
                      <w:szCs w:val="21"/>
                    </w:rPr>
                  </w:pPr>
                </w:p>
              </w:tc>
              <w:tc>
                <w:tcPr>
                  <w:tcW w:w="2670" w:type="dxa"/>
                  <w:vMerge w:val="continue"/>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sz w:val="21"/>
                      <w:szCs w:val="21"/>
                    </w:rPr>
                  </w:pPr>
                </w:p>
              </w:tc>
              <w:tc>
                <w:tcPr>
                  <w:tcW w:w="2604"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硬度变化率/度</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1242" w:type="dxa"/>
                  <w:vMerge w:val="continue"/>
                  <w:tcBorders>
                    <w:top w:val="single" w:color="auto" w:sz="4" w:space="0"/>
                    <w:left w:val="single" w:color="auto" w:sz="4" w:space="0"/>
                    <w:bottom w:val="single" w:color="auto" w:sz="4" w:space="0"/>
                    <w:right w:val="single" w:color="auto" w:sz="4" w:space="0"/>
                  </w:tcBorders>
                </w:tcPr>
                <w:p>
                  <w:pPr>
                    <w:spacing w:line="360" w:lineRule="auto"/>
                    <w:ind w:firstLine="315" w:firstLineChars="150"/>
                    <w:rPr>
                      <w:rFonts w:hint="eastAsia" w:asciiTheme="minorEastAsia" w:hAnsiTheme="minorEastAsia" w:eastAsiaTheme="minorEastAsia" w:cstheme="minorEastAsia"/>
                      <w:sz w:val="21"/>
                      <w:szCs w:val="21"/>
                    </w:rPr>
                  </w:pPr>
                </w:p>
              </w:tc>
              <w:tc>
                <w:tcPr>
                  <w:tcW w:w="2670" w:type="dxa"/>
                  <w:vMerge w:val="continue"/>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sz w:val="21"/>
                      <w:szCs w:val="21"/>
                    </w:rPr>
                  </w:pPr>
                </w:p>
              </w:tc>
              <w:tc>
                <w:tcPr>
                  <w:tcW w:w="2604"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体积变化率/%</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242" w:type="dxa"/>
                  <w:tcBorders>
                    <w:top w:val="single" w:color="auto" w:sz="4" w:space="0"/>
                    <w:left w:val="single" w:color="auto" w:sz="4" w:space="0"/>
                    <w:bottom w:val="single" w:color="auto" w:sz="4" w:space="0"/>
                    <w:right w:val="single" w:color="auto" w:sz="4" w:space="0"/>
                  </w:tcBorders>
                </w:tcPr>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5274" w:type="dxa"/>
                  <w:gridSpan w:val="2"/>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压缩永久变形（100°C±2°C）×22hA型/%</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r>
          </w:tbl>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6.2密封性能</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进行密封试验，试验压力为2倍额定工作压力，保持5min，应无渗漏。</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6.3耐压强度</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进行耐压强度试验，试验压力为4倍额定工作压力，保持5min，应无泄漏和损坏。</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7、螺栓和螺母</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7.1螺栓的结构和尺寸应符合GB/T8262的规定，机械性能不应低于GB/T3098.1中规定的8.8级要求。螺纹公差6g。螺栓应镀锌，或用其它具有相同耐腐蚀的材料制造。</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7.2螺母的机械性能应符合GB/T3098.2中螺母规定的8级要求，螺纹公差6H。螺母应镀锌，或用其它具有相同耐腐蚀的材料制造。</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8、标志</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外包装标志内容：</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a) 制造厂名称、地址、电话：</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b) 产品名称 、型号和规格：</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c) 出厂日期：</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d) 产品数量：</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e) 商标：</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f) 外型尺寸、毛重：</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 包装储运图示标志应符合GB/T 191 的规定。</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 包装</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10、沟槽式管接件在包装箱应单件包装，若不是单件包装，箱内各件之间应有隔层或其</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他防护措施。</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10.1 产品包装中应附有使用说明书和合格证。</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10.2 在包装箱外应标明放置方向、堆放件数限制、贮存防护条件等。</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10.3 运输</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沟槽式管接件在运输过程中，应该防雨减震，装卸时防止撞击。</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10.4 贮存</w:t>
            </w:r>
          </w:p>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沟槽式管接件应存放在通风、干燥的库房内，避免与腐蚀性物质共同贮存，贮存温度—10℃~+40℃。</w:t>
            </w:r>
          </w:p>
          <w:p>
            <w:pPr>
              <w:spacing w:line="360" w:lineRule="auto"/>
              <w:rPr>
                <w:rFonts w:hint="eastAsia" w:asciiTheme="minorEastAsia" w:hAnsiTheme="minorEastAsia" w:eastAsiaTheme="minorEastAsia" w:cstheme="minorEastAsia"/>
                <w:color w:val="000000"/>
                <w:sz w:val="21"/>
                <w:szCs w:val="21"/>
              </w:rPr>
            </w:pPr>
            <w:bookmarkStart w:id="0" w:name="_Toc12939"/>
            <w:r>
              <w:rPr>
                <w:rFonts w:hint="eastAsia" w:asciiTheme="minorEastAsia" w:hAnsiTheme="minorEastAsia" w:eastAsiaTheme="minorEastAsia" w:cstheme="minorEastAsia"/>
                <w:bCs/>
                <w:color w:val="000000"/>
                <w:sz w:val="21"/>
                <w:szCs w:val="21"/>
                <w:lang w:val="en-US" w:eastAsia="zh-CN"/>
              </w:rPr>
              <w:t>四</w:t>
            </w:r>
            <w:r>
              <w:rPr>
                <w:rFonts w:hint="eastAsia" w:asciiTheme="minorEastAsia" w:hAnsiTheme="minorEastAsia" w:eastAsiaTheme="minorEastAsia" w:cstheme="minorEastAsia"/>
                <w:bCs/>
                <w:color w:val="000000"/>
                <w:sz w:val="21"/>
                <w:szCs w:val="21"/>
              </w:rPr>
              <w:t>.质量保证期内的服务</w:t>
            </w:r>
            <w:bookmarkEnd w:id="0"/>
          </w:p>
          <w:p>
            <w:pPr>
              <w:tabs>
                <w:tab w:val="left" w:pos="640"/>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货物质保期为贰年。</w:t>
            </w:r>
            <w:r>
              <w:rPr>
                <w:rFonts w:hint="eastAsia" w:asciiTheme="minorEastAsia" w:hAnsiTheme="minorEastAsia" w:eastAsiaTheme="minorEastAsia" w:cstheme="minorEastAsia"/>
                <w:color w:val="000000"/>
                <w:sz w:val="21"/>
                <w:szCs w:val="21"/>
              </w:rPr>
              <w:t>对由于产品质量问题造成的自然损坏，供货人将提供现场服务，免费维修更换损坏的产品。由于采购方人为原因或不可抗原因造成的产品损坏，供货人有义务对损坏的产品作有偿更换。</w:t>
            </w:r>
          </w:p>
          <w:p>
            <w:pPr>
              <w:snapToGrid w:val="0"/>
              <w:spacing w:line="360" w:lineRule="auto"/>
              <w:outlineLvl w:val="1"/>
              <w:rPr>
                <w:rFonts w:hint="eastAsia" w:asciiTheme="minorEastAsia" w:hAnsiTheme="minorEastAsia" w:eastAsiaTheme="minorEastAsia" w:cstheme="minorEastAsia"/>
                <w:color w:val="000000"/>
                <w:sz w:val="21"/>
                <w:szCs w:val="21"/>
              </w:rPr>
            </w:pPr>
            <w:bookmarkStart w:id="1" w:name="_Toc22091"/>
            <w:r>
              <w:rPr>
                <w:rFonts w:hint="eastAsia" w:asciiTheme="minorEastAsia" w:hAnsiTheme="minorEastAsia" w:eastAsiaTheme="minorEastAsia" w:cstheme="minorEastAsia"/>
                <w:color w:val="000000"/>
                <w:sz w:val="21"/>
                <w:szCs w:val="21"/>
                <w:lang w:val="en-US" w:eastAsia="zh-CN"/>
              </w:rPr>
              <w:t>五</w:t>
            </w:r>
            <w:r>
              <w:rPr>
                <w:rFonts w:hint="eastAsia" w:asciiTheme="minorEastAsia" w:hAnsiTheme="minorEastAsia" w:eastAsiaTheme="minorEastAsia" w:cstheme="minorEastAsia"/>
                <w:color w:val="000000"/>
                <w:sz w:val="21"/>
                <w:szCs w:val="21"/>
              </w:rPr>
              <w:t>.交货期及交货地点</w:t>
            </w:r>
            <w:bookmarkEnd w:id="1"/>
          </w:p>
          <w:p>
            <w:pPr>
              <w:snapToGrid w:val="0"/>
              <w:spacing w:line="360" w:lineRule="auto"/>
              <w:rPr>
                <w:rFonts w:hint="eastAsia" w:asciiTheme="minorEastAsia" w:hAnsiTheme="minorEastAsia" w:eastAsiaTheme="minorEastAsia" w:cstheme="minorEastAsia"/>
                <w:bCs/>
                <w:color w:val="000000"/>
                <w:sz w:val="21"/>
                <w:szCs w:val="21"/>
              </w:rPr>
            </w:pPr>
            <w:bookmarkStart w:id="2" w:name="_Toc18564"/>
            <w:r>
              <w:rPr>
                <w:rFonts w:hint="eastAsia" w:asciiTheme="minorEastAsia" w:hAnsiTheme="minorEastAsia" w:eastAsiaTheme="minorEastAsia" w:cstheme="minorEastAsia"/>
                <w:bCs/>
                <w:color w:val="000000"/>
                <w:sz w:val="21"/>
                <w:szCs w:val="21"/>
              </w:rPr>
              <w:t>1.</w:t>
            </w:r>
            <w:r>
              <w:rPr>
                <w:rFonts w:hint="eastAsia" w:asciiTheme="minorEastAsia" w:hAnsiTheme="minorEastAsia" w:eastAsiaTheme="minorEastAsia" w:cstheme="minorEastAsia"/>
                <w:bCs/>
                <w:sz w:val="21"/>
                <w:szCs w:val="21"/>
              </w:rPr>
              <w:t>交货期：</w:t>
            </w:r>
            <w:r>
              <w:rPr>
                <w:rFonts w:hint="eastAsia" w:asciiTheme="minorEastAsia" w:hAnsiTheme="minorEastAsia" w:eastAsiaTheme="minorEastAsia" w:cstheme="minorEastAsia"/>
                <w:sz w:val="21"/>
                <w:szCs w:val="21"/>
              </w:rPr>
              <w:t>采购人将每次采购计划提前五个日历日以书面形式通知成交人，成交人收到采购计划后需在当日给予确认回复，如供方未回复的，视为已收到采购人的采购计划，成交人按采购人提供的货物规格、数量</w:t>
            </w:r>
            <w:r>
              <w:rPr>
                <w:rFonts w:hint="eastAsia" w:asciiTheme="minorEastAsia" w:hAnsiTheme="minorEastAsia" w:eastAsiaTheme="minorEastAsia" w:cstheme="minorEastAsia"/>
                <w:sz w:val="21"/>
                <w:szCs w:val="21"/>
                <w:highlight w:val="none"/>
              </w:rPr>
              <w:t>五个日历日内到货</w:t>
            </w:r>
            <w:r>
              <w:rPr>
                <w:rFonts w:hint="eastAsia" w:asciiTheme="minorEastAsia" w:hAnsiTheme="minorEastAsia" w:eastAsiaTheme="minorEastAsia" w:cstheme="minorEastAsia"/>
                <w:sz w:val="21"/>
                <w:szCs w:val="21"/>
              </w:rPr>
              <w:t>，延期到货按违约处理。</w:t>
            </w:r>
          </w:p>
          <w:p>
            <w:pPr>
              <w:snapToGrid w:val="0"/>
              <w:spacing w:line="360" w:lineRule="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2.交货地点：</w:t>
            </w:r>
            <w:r>
              <w:rPr>
                <w:rFonts w:hint="eastAsia" w:asciiTheme="minorEastAsia" w:hAnsiTheme="minorEastAsia" w:eastAsiaTheme="minorEastAsia" w:cstheme="minorEastAsia"/>
                <w:bCs/>
                <w:sz w:val="21"/>
                <w:szCs w:val="21"/>
              </w:rPr>
              <w:t>成交</w:t>
            </w:r>
            <w:r>
              <w:rPr>
                <w:rFonts w:hint="eastAsia" w:asciiTheme="minorEastAsia" w:hAnsiTheme="minorEastAsia" w:eastAsiaTheme="minorEastAsia" w:cstheme="minorEastAsia"/>
                <w:sz w:val="21"/>
                <w:szCs w:val="21"/>
              </w:rPr>
              <w:t>人负责送达采购人仓库或指定地点（</w:t>
            </w:r>
            <w:r>
              <w:rPr>
                <w:rFonts w:hint="eastAsia" w:asciiTheme="minorEastAsia" w:hAnsiTheme="minorEastAsia" w:eastAsiaTheme="minorEastAsia" w:cstheme="minorEastAsia"/>
                <w:sz w:val="21"/>
                <w:szCs w:val="21"/>
                <w:highlight w:val="none"/>
              </w:rPr>
              <w:t>福州市地区</w:t>
            </w:r>
            <w:r>
              <w:rPr>
                <w:rFonts w:hint="eastAsia" w:asciiTheme="minorEastAsia" w:hAnsiTheme="minorEastAsia" w:eastAsiaTheme="minorEastAsia" w:cstheme="minorEastAsia"/>
                <w:sz w:val="21"/>
                <w:szCs w:val="21"/>
              </w:rPr>
              <w:t>）。</w:t>
            </w:r>
          </w:p>
          <w:p>
            <w:pPr>
              <w:snapToGrid w:val="0"/>
              <w:spacing w:line="360" w:lineRule="auto"/>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六</w:t>
            </w:r>
            <w:r>
              <w:rPr>
                <w:rFonts w:hint="eastAsia" w:asciiTheme="minorEastAsia" w:hAnsiTheme="minorEastAsia" w:eastAsiaTheme="minorEastAsia" w:cstheme="minorEastAsia"/>
                <w:color w:val="000000"/>
                <w:sz w:val="21"/>
                <w:szCs w:val="21"/>
              </w:rPr>
              <w:t>.付款条件及方式</w:t>
            </w:r>
            <w:bookmarkEnd w:id="2"/>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000000"/>
                <w:sz w:val="21"/>
                <w:szCs w:val="21"/>
              </w:rPr>
              <w:t>供方在签订采购合同前</w:t>
            </w:r>
            <w:r>
              <w:rPr>
                <w:rFonts w:hint="eastAsia" w:asciiTheme="minorEastAsia" w:hAnsiTheme="minorEastAsia" w:eastAsiaTheme="minorEastAsia" w:cstheme="minorEastAsia"/>
                <w:color w:val="000000"/>
                <w:sz w:val="21"/>
                <w:szCs w:val="21"/>
                <w:lang w:val="zh-CN"/>
              </w:rPr>
              <w:t>三日</w:t>
            </w:r>
            <w:r>
              <w:rPr>
                <w:rFonts w:hint="eastAsia" w:asciiTheme="minorEastAsia" w:hAnsiTheme="minorEastAsia" w:eastAsiaTheme="minorEastAsia" w:cstheme="minorEastAsia"/>
                <w:color w:val="000000"/>
                <w:sz w:val="21"/>
                <w:szCs w:val="21"/>
              </w:rPr>
              <w:t>内</w:t>
            </w:r>
            <w:r>
              <w:rPr>
                <w:rFonts w:hint="eastAsia" w:asciiTheme="minorEastAsia" w:hAnsiTheme="minorEastAsia" w:eastAsiaTheme="minorEastAsia" w:cstheme="minorEastAsia"/>
                <w:sz w:val="21"/>
                <w:szCs w:val="21"/>
              </w:rPr>
              <w:t>向需方缴交合同总金额的 5 %作为履约保证金，双方在本合同履行最后一批次货物供货完成且验收合格后，履约保证金转为质保金（如供方提供银行担保的见索即付的独立保函的，需方在支付供方第一批货款时应扣留合同总金额的5 %作为质保金），质保金待货物质保期满后产品无质量问题且无违约索赔情况下，质保金无息全额退还供方。质保期届满后三年内供方未向需方申请退还质保金的，已付款视为结算款，即供方自愿放弃质保金。</w:t>
            </w:r>
          </w:p>
          <w:p>
            <w:pPr>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供方每批次货物经需方确认到货数量及相关管理部门验收合格后（须按本合同验收条款约定的程序与方式完成验收，以及包括供方提供该批次货物产品出厂检验证书、合格证书等需方要求的货物技术资料），供方开具本批次所供货物的含税合规的增值税专用发票（包含税务机关代开），需方在收到发票并确认无误后</w:t>
            </w:r>
            <w:r>
              <w:rPr>
                <w:rFonts w:hint="eastAsia" w:asciiTheme="minorEastAsia" w:hAnsiTheme="minorEastAsia" w:eastAsiaTheme="minorEastAsia" w:cstheme="minorEastAsia"/>
                <w:sz w:val="21"/>
                <w:szCs w:val="21"/>
                <w:lang w:val="en-US" w:eastAsia="zh-CN"/>
              </w:rPr>
              <w:t>45</w:t>
            </w:r>
            <w:r>
              <w:rPr>
                <w:rFonts w:hint="eastAsia" w:asciiTheme="minorEastAsia" w:hAnsiTheme="minorEastAsia" w:eastAsiaTheme="minorEastAsia" w:cstheme="minorEastAsia"/>
                <w:sz w:val="21"/>
                <w:szCs w:val="21"/>
              </w:rPr>
              <w:t>个工作日内给予付款。</w:t>
            </w:r>
          </w:p>
          <w:p>
            <w:pPr>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（3）需方每次付款前,供方应开具增值税专用发票,否则需方有权延迟付款并不承担任何违约责任,相反因供方迟延开具发票导致需方延迟付款最终导致货物延迟到货的,供方应承担延期交货的违约责任。</w:t>
            </w:r>
          </w:p>
          <w:p>
            <w:pPr>
              <w:autoSpaceDE w:val="0"/>
              <w:autoSpaceDN w:val="0"/>
              <w:adjustRightInd w:val="0"/>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4）本合同签署的供方公司名称与发票开具单位及收款单位一致，供方不得以任何理由在合同执行过程中要求调整发票开具单位或收款单位。供方提供增值税专用发票必须与需方办理发票交接手续，无需方经办人员签认，视为供方未提供增值税专用发票，如发生增值税专用发票丢失，由供方承担责任。如因供方开具的发票不合法或不能认证抵扣进项税额的，供方同意承担由此给需方造成的一切损失（包括但不限于税款、滞纳金、行政罚款及相关损失等）。供方账户必须是合同约定的在主管国税机关备案的账户，若账户变更应及时通知需方，并签订合同变更或补充合同；如供方随意改变账户，需方将拒付货款，由此引起的延期付款责任及相关的损失由供方承担。如果需方丢失增值税专用发票联和抵扣联，如已认证相符，供方应向需方提供专用发票记账联复印件及主管税务机关出具的《丢失增值税专用发票已报税证明单》；如未经认证，供方须提供相应专用发票记账联复印件供需方认证。增值税专用发票必须保持票面干净、整齐, 发票的正反两面均不能留下任何脏、乱及签字的痕迹。</w:t>
            </w:r>
          </w:p>
        </w:tc>
      </w:tr>
    </w:tbl>
    <w:p>
      <w:pPr>
        <w:widowControl/>
        <w:spacing w:line="360" w:lineRule="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三、递交的方式及时间、地点：</w:t>
      </w:r>
    </w:p>
    <w:p>
      <w:pPr>
        <w:widowControl/>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材料密封递交，送达截止时间：所有材料应于2021年0</w:t>
      </w:r>
      <w:r>
        <w:rPr>
          <w:rFonts w:hint="eastAsia" w:asciiTheme="minorEastAsia" w:hAnsiTheme="minorEastAsia" w:eastAsiaTheme="minorEastAsia" w:cstheme="minorEastAsia"/>
          <w:kern w:val="0"/>
          <w:sz w:val="21"/>
          <w:szCs w:val="21"/>
          <w:lang w:val="en-US" w:eastAsia="zh-CN"/>
        </w:rPr>
        <w:t>9</w:t>
      </w:r>
      <w:r>
        <w:rPr>
          <w:rFonts w:hint="eastAsia" w:asciiTheme="minorEastAsia" w:hAnsiTheme="minorEastAsia" w:eastAsiaTheme="minorEastAsia" w:cstheme="minorEastAsia"/>
          <w:kern w:val="0"/>
          <w:sz w:val="21"/>
          <w:szCs w:val="21"/>
        </w:rPr>
        <w:t>月</w:t>
      </w:r>
      <w:r>
        <w:rPr>
          <w:rFonts w:hint="eastAsia" w:asciiTheme="minorEastAsia" w:hAnsiTheme="minorEastAsia" w:eastAsiaTheme="minorEastAsia" w:cstheme="minorEastAsia"/>
          <w:kern w:val="0"/>
          <w:sz w:val="21"/>
          <w:szCs w:val="21"/>
          <w:lang w:val="en-US" w:eastAsia="zh-CN"/>
        </w:rPr>
        <w:t>22</w:t>
      </w:r>
      <w:r>
        <w:rPr>
          <w:rFonts w:hint="eastAsia" w:asciiTheme="minorEastAsia" w:hAnsiTheme="minorEastAsia" w:eastAsiaTheme="minorEastAsia" w:cstheme="minorEastAsia"/>
          <w:kern w:val="0"/>
          <w:sz w:val="21"/>
          <w:szCs w:val="21"/>
        </w:rPr>
        <w:t xml:space="preserve">日17:00（北京时间）之前送达（如材料以快件形式递交，应按规定截止时间前寄达我司），公司具体地址：福州市鼓楼区杨桥西路12号接收人：高先生联系电话：0591-83778612 </w:t>
      </w:r>
    </w:p>
    <w:p>
      <w:pPr>
        <w:widowControl/>
        <w:spacing w:line="360" w:lineRule="auto"/>
        <w:rPr>
          <w:rFonts w:hint="eastAsia" w:asciiTheme="minorEastAsia" w:hAnsiTheme="minorEastAsia" w:eastAsiaTheme="minorEastAsia" w:cstheme="minorEastAsia"/>
          <w:kern w:val="0"/>
          <w:sz w:val="21"/>
          <w:szCs w:val="21"/>
        </w:rPr>
      </w:pPr>
    </w:p>
    <w:p>
      <w:pPr>
        <w:widowControl/>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 xml:space="preserve"> 福州市水务工程有限责任公司</w:t>
      </w:r>
    </w:p>
    <w:p>
      <w:pPr>
        <w:spacing w:line="360" w:lineRule="auto"/>
        <w:ind w:firstLine="5565" w:firstLineChars="26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2021年0</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eastAsiaTheme="minorEastAsia" w:cstheme="minorEastAsia"/>
          <w:sz w:val="21"/>
          <w:szCs w:val="21"/>
        </w:rPr>
        <w:t>日</w:t>
      </w:r>
    </w:p>
    <w:p>
      <w:pPr>
        <w:ind w:firstLine="4095" w:firstLineChars="1950"/>
        <w:jc w:val="left"/>
        <w:rPr>
          <w:rFonts w:hint="eastAsia" w:asciiTheme="minorEastAsia" w:hAnsiTheme="minorEastAsia" w:eastAsiaTheme="minorEastAsia" w:cstheme="minorEastAsia"/>
          <w:sz w:val="21"/>
          <w:szCs w:val="21"/>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nt2-Identity-H">
    <w:altName w:val="等线"/>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3CF6"/>
    <w:rsid w:val="00010149"/>
    <w:rsid w:val="00023359"/>
    <w:rsid w:val="000B5D53"/>
    <w:rsid w:val="00196F7B"/>
    <w:rsid w:val="001C77BD"/>
    <w:rsid w:val="00201C63"/>
    <w:rsid w:val="00243E3D"/>
    <w:rsid w:val="00280E6B"/>
    <w:rsid w:val="002A2833"/>
    <w:rsid w:val="003074B5"/>
    <w:rsid w:val="003D041E"/>
    <w:rsid w:val="003F0461"/>
    <w:rsid w:val="00436CCB"/>
    <w:rsid w:val="004B12DC"/>
    <w:rsid w:val="004E7C0A"/>
    <w:rsid w:val="004F7F26"/>
    <w:rsid w:val="00504E70"/>
    <w:rsid w:val="00526A44"/>
    <w:rsid w:val="005D7583"/>
    <w:rsid w:val="006070EA"/>
    <w:rsid w:val="0065763A"/>
    <w:rsid w:val="007A2CFA"/>
    <w:rsid w:val="008616FE"/>
    <w:rsid w:val="0088638E"/>
    <w:rsid w:val="008C6416"/>
    <w:rsid w:val="00A85A1C"/>
    <w:rsid w:val="00C36C46"/>
    <w:rsid w:val="00CD5159"/>
    <w:rsid w:val="00D00171"/>
    <w:rsid w:val="00D97A38"/>
    <w:rsid w:val="00DA5C06"/>
    <w:rsid w:val="00DA60F7"/>
    <w:rsid w:val="00DB4AE7"/>
    <w:rsid w:val="00DD3CF6"/>
    <w:rsid w:val="00DE32AC"/>
    <w:rsid w:val="00E87CA3"/>
    <w:rsid w:val="00EF4C38"/>
    <w:rsid w:val="00F7652B"/>
    <w:rsid w:val="00F9234D"/>
    <w:rsid w:val="00FF3E92"/>
    <w:rsid w:val="026411B8"/>
    <w:rsid w:val="14D22489"/>
    <w:rsid w:val="198A01EC"/>
    <w:rsid w:val="1A2F5325"/>
    <w:rsid w:val="36277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Calibri" w:hAnsi="Calibri"/>
      <w:kern w:val="28"/>
      <w:szCs w:val="20"/>
    </w:rPr>
  </w:style>
  <w:style w:type="paragraph" w:styleId="4">
    <w:name w:val="Body Text Indent"/>
    <w:basedOn w:val="1"/>
    <w:link w:val="18"/>
    <w:uiPriority w:val="0"/>
    <w:pPr>
      <w:spacing w:after="120"/>
      <w:ind w:left="420" w:leftChars="200"/>
    </w:pPr>
  </w:style>
  <w:style w:type="paragraph" w:styleId="5">
    <w:name w:val="Plain Text"/>
    <w:basedOn w:val="1"/>
    <w:link w:val="16"/>
    <w:qFormat/>
    <w:uiPriority w:val="0"/>
    <w:rPr>
      <w:rFonts w:ascii="宋体" w:hAnsi="Courier New" w:eastAsiaTheme="minorEastAsia" w:cstheme="minorBidi"/>
      <w:szCs w:val="22"/>
    </w:rPr>
  </w:style>
  <w:style w:type="paragraph" w:styleId="6">
    <w:name w:val="Date"/>
    <w:basedOn w:val="1"/>
    <w:next w:val="1"/>
    <w:link w:val="17"/>
    <w:semiHidden/>
    <w:unhideWhenUsed/>
    <w:qFormat/>
    <w:uiPriority w:val="99"/>
    <w:pPr>
      <w:ind w:left="100" w:leftChars="2500"/>
    </w:pPr>
  </w:style>
  <w:style w:type="paragraph" w:styleId="7">
    <w:name w:val="footer"/>
    <w:basedOn w:val="1"/>
    <w:link w:val="13"/>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1">
    <w:name w:val="Strong"/>
    <w:qFormat/>
    <w:uiPriority w:val="0"/>
    <w:rPr>
      <w:b/>
      <w:bCs/>
    </w:rPr>
  </w:style>
  <w:style w:type="character" w:customStyle="1" w:styleId="12">
    <w:name w:val="页眉 Char"/>
    <w:basedOn w:val="10"/>
    <w:link w:val="8"/>
    <w:semiHidden/>
    <w:qFormat/>
    <w:uiPriority w:val="99"/>
    <w:rPr>
      <w:sz w:val="18"/>
      <w:szCs w:val="18"/>
    </w:rPr>
  </w:style>
  <w:style w:type="character" w:customStyle="1" w:styleId="13">
    <w:name w:val="页脚 Char"/>
    <w:basedOn w:val="10"/>
    <w:link w:val="7"/>
    <w:semiHidden/>
    <w:qFormat/>
    <w:uiPriority w:val="99"/>
    <w:rPr>
      <w:sz w:val="18"/>
      <w:szCs w:val="18"/>
    </w:rPr>
  </w:style>
  <w:style w:type="paragraph" w:customStyle="1" w:styleId="14">
    <w:name w:val="xl27"/>
    <w:basedOn w:val="1"/>
    <w:qFormat/>
    <w:uiPriority w:val="0"/>
    <w:pPr>
      <w:widowControl/>
      <w:spacing w:before="100" w:beforeAutospacing="1" w:after="100" w:afterAutospacing="1"/>
      <w:jc w:val="center"/>
      <w:textAlignment w:val="center"/>
    </w:pPr>
    <w:rPr>
      <w:rFonts w:ascii="宋体" w:hAnsi="宋体"/>
      <w:kern w:val="0"/>
      <w:sz w:val="24"/>
    </w:rPr>
  </w:style>
  <w:style w:type="character" w:customStyle="1" w:styleId="15">
    <w:name w:val="纯文本 Char"/>
    <w:basedOn w:val="10"/>
    <w:link w:val="5"/>
    <w:qFormat/>
    <w:locked/>
    <w:uiPriority w:val="0"/>
    <w:rPr>
      <w:rFonts w:ascii="宋体" w:hAnsi="Courier New"/>
    </w:rPr>
  </w:style>
  <w:style w:type="character" w:customStyle="1" w:styleId="16">
    <w:name w:val="纯文本 Char1"/>
    <w:basedOn w:val="10"/>
    <w:link w:val="5"/>
    <w:semiHidden/>
    <w:qFormat/>
    <w:uiPriority w:val="99"/>
    <w:rPr>
      <w:rFonts w:ascii="宋体" w:hAnsi="Courier New" w:eastAsia="宋体" w:cs="Courier New"/>
      <w:szCs w:val="21"/>
    </w:rPr>
  </w:style>
  <w:style w:type="character" w:customStyle="1" w:styleId="17">
    <w:name w:val="日期 Char"/>
    <w:basedOn w:val="10"/>
    <w:link w:val="6"/>
    <w:semiHidden/>
    <w:qFormat/>
    <w:uiPriority w:val="99"/>
    <w:rPr>
      <w:rFonts w:ascii="Times New Roman" w:hAnsi="Times New Roman" w:eastAsia="宋体" w:cs="Times New Roman"/>
      <w:szCs w:val="24"/>
    </w:rPr>
  </w:style>
  <w:style w:type="character" w:customStyle="1" w:styleId="18">
    <w:name w:val="正文文本缩进 Char"/>
    <w:basedOn w:val="10"/>
    <w:link w:val="4"/>
    <w:qFormat/>
    <w:uiPriority w:val="0"/>
    <w:rPr>
      <w:rFonts w:ascii="Times New Roman" w:hAnsi="Times New Roman" w:eastAsia="宋体" w:cs="Times New Roman"/>
      <w:szCs w:val="24"/>
    </w:rPr>
  </w:style>
  <w:style w:type="character" w:customStyle="1" w:styleId="19">
    <w:name w:val="标题 1 Char"/>
    <w:basedOn w:val="10"/>
    <w:link w:val="3"/>
    <w:qFormat/>
    <w:uiPriority w:val="0"/>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7C04C-35F6-47F0-92B6-7BF85C61E6B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608</Words>
  <Characters>3467</Characters>
  <Lines>28</Lines>
  <Paragraphs>8</Paragraphs>
  <TotalTime>2</TotalTime>
  <ScaleCrop>false</ScaleCrop>
  <LinksUpToDate>false</LinksUpToDate>
  <CharactersWithSpaces>4067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2018-10-09T01:20:00Z</dcterms:created>
  <dc:creator>ggh</dc:creator>
  <cp:lastModifiedBy>管理员</cp:lastModifiedBy>
  <dcterms:modified xsi:type="dcterms:W3CDTF">2021-09-14T01:21:31Z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