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sz w:val="32"/>
          <w:szCs w:val="32"/>
        </w:rPr>
      </w:pPr>
      <w:r>
        <w:rPr>
          <w:rFonts w:hint="eastAsia" w:ascii="宋体" w:hAnsi="宋体"/>
          <w:b/>
          <w:color w:val="auto"/>
          <w:sz w:val="32"/>
          <w:szCs w:val="32"/>
        </w:rPr>
        <w:t>福州市滨海水务发展有限公司</w:t>
      </w:r>
    </w:p>
    <w:p>
      <w:pPr>
        <w:jc w:val="center"/>
        <w:rPr>
          <w:rFonts w:ascii="宋体" w:hAnsi="宋体"/>
          <w:b/>
          <w:color w:val="auto"/>
          <w:sz w:val="32"/>
          <w:szCs w:val="32"/>
        </w:rPr>
      </w:pPr>
      <w:r>
        <w:rPr>
          <w:rFonts w:hint="eastAsia" w:ascii="宋体" w:hAnsi="宋体"/>
          <w:b/>
          <w:color w:val="auto"/>
          <w:sz w:val="32"/>
          <w:szCs w:val="32"/>
        </w:rPr>
        <w:t>关于防洪影响评价报</w:t>
      </w:r>
      <w:bookmarkStart w:id="1" w:name="_GoBack"/>
      <w:bookmarkEnd w:id="1"/>
      <w:r>
        <w:rPr>
          <w:rFonts w:hint="eastAsia" w:ascii="宋体" w:hAnsi="宋体"/>
          <w:b/>
          <w:color w:val="auto"/>
          <w:sz w:val="32"/>
          <w:szCs w:val="32"/>
        </w:rPr>
        <w:t>告采购询价公告</w:t>
      </w:r>
    </w:p>
    <w:p>
      <w:pPr>
        <w:pStyle w:val="18"/>
        <w:spacing w:line="430" w:lineRule="exact"/>
        <w:ind w:firstLine="420"/>
        <w:rPr>
          <w:rFonts w:cs="Arial Unicode MS"/>
          <w:color w:val="auto"/>
          <w:kern w:val="0"/>
          <w:sz w:val="24"/>
        </w:rPr>
      </w:pPr>
      <w:r>
        <w:rPr>
          <w:rFonts w:hint="eastAsia"/>
          <w:color w:val="auto"/>
          <w:sz w:val="24"/>
          <w:szCs w:val="24"/>
        </w:rPr>
        <w:t>福州市滨海水务发展有限公司釆用挂网询价釆购方式组织实施本次服务的釆购，现邀请合格的供应商参与报价。</w:t>
      </w:r>
    </w:p>
    <w:p>
      <w:pPr>
        <w:widowControl/>
        <w:snapToGrid w:val="0"/>
        <w:spacing w:line="500" w:lineRule="exact"/>
        <w:ind w:firstLine="120" w:firstLineChars="50"/>
        <w:jc w:val="left"/>
        <w:rPr>
          <w:rFonts w:ascii="宋体" w:hAnsi="宋体" w:cs="Arial Unicode MS"/>
          <w:color w:val="auto"/>
          <w:kern w:val="0"/>
          <w:sz w:val="24"/>
        </w:rPr>
      </w:pPr>
      <w:r>
        <w:rPr>
          <w:rFonts w:hint="eastAsia" w:ascii="宋体" w:hAnsi="宋体" w:cs="Arial Unicode MS"/>
          <w:color w:val="auto"/>
          <w:kern w:val="0"/>
          <w:sz w:val="24"/>
        </w:rPr>
        <w:t>一、询价邀请</w:t>
      </w:r>
    </w:p>
    <w:p>
      <w:pPr>
        <w:widowControl/>
        <w:snapToGrid w:val="0"/>
        <w:spacing w:line="500" w:lineRule="exact"/>
        <w:ind w:firstLine="120" w:firstLineChars="50"/>
        <w:jc w:val="left"/>
        <w:rPr>
          <w:rFonts w:ascii="宋体" w:hAnsi="宋体"/>
          <w:color w:val="auto"/>
          <w:sz w:val="24"/>
        </w:rPr>
      </w:pPr>
      <w:r>
        <w:rPr>
          <w:rFonts w:hint="eastAsia" w:ascii="宋体" w:hAnsi="宋体" w:cs="Arial Unicode MS"/>
          <w:color w:val="auto"/>
          <w:kern w:val="0"/>
          <w:sz w:val="24"/>
        </w:rPr>
        <w:t>1</w:t>
      </w:r>
      <w:r>
        <w:rPr>
          <w:rFonts w:hint="eastAsia" w:ascii="宋体" w:hAnsi="宋体" w:cs="Arial Unicode MS"/>
          <w:color w:val="auto"/>
          <w:kern w:val="0"/>
          <w:sz w:val="24"/>
        </w:rPr>
        <w:t>、项目编号：</w:t>
      </w:r>
    </w:p>
    <w:p>
      <w:pPr>
        <w:spacing w:before="54"/>
        <w:ind w:right="173" w:firstLine="120" w:firstLineChars="50"/>
        <w:jc w:val="left"/>
        <w:rPr>
          <w:rFonts w:ascii="宋体" w:hAnsi="宋体"/>
          <w:color w:val="auto"/>
          <w:spacing w:val="-4"/>
          <w:szCs w:val="21"/>
        </w:rPr>
      </w:pPr>
      <w:r>
        <w:rPr>
          <w:rFonts w:hint="eastAsia" w:ascii="宋体" w:hAnsi="宋体" w:cs="Arial Unicode MS"/>
          <w:color w:val="auto"/>
          <w:kern w:val="0"/>
          <w:sz w:val="24"/>
        </w:rPr>
        <w:t>2、询价采购服务名称详见“</w:t>
      </w:r>
      <w:r>
        <w:rPr>
          <w:rFonts w:hint="eastAsia" w:ascii="宋体" w:hAnsi="宋体" w:cs="Arial Unicode MS"/>
          <w:color w:val="auto"/>
          <w:kern w:val="0"/>
          <w:sz w:val="24"/>
        </w:rPr>
        <w:t>询价一览表</w:t>
      </w:r>
      <w:r>
        <w:rPr>
          <w:rFonts w:hint="eastAsia" w:ascii="宋体" w:hAnsi="宋体" w:cs="Arial Unicode MS"/>
          <w:color w:val="auto"/>
          <w:kern w:val="0"/>
          <w:sz w:val="24"/>
        </w:rPr>
        <w:t>”，</w:t>
      </w:r>
      <w:r>
        <w:rPr>
          <w:rFonts w:hint="eastAsia" w:ascii="宋体" w:hAnsi="宋体" w:cs="Arial Unicode MS"/>
          <w:color w:val="auto"/>
          <w:kern w:val="0"/>
          <w:sz w:val="24"/>
        </w:rPr>
        <w:t>具体参数和技术要求详见附件。</w:t>
      </w:r>
    </w:p>
    <w:p>
      <w:pPr>
        <w:spacing w:before="54"/>
        <w:ind w:left="161" w:right="173"/>
        <w:jc w:val="center"/>
        <w:rPr>
          <w:b/>
          <w:color w:val="auto"/>
          <w:sz w:val="28"/>
          <w:szCs w:val="28"/>
        </w:rPr>
      </w:pPr>
      <w:r>
        <w:rPr>
          <w:rFonts w:hint="eastAsia"/>
          <w:b/>
          <w:color w:val="auto"/>
          <w:sz w:val="28"/>
          <w:szCs w:val="28"/>
        </w:rPr>
        <w:t>询</w:t>
      </w:r>
      <w:r>
        <w:rPr>
          <w:b/>
          <w:color w:val="auto"/>
          <w:sz w:val="28"/>
          <w:szCs w:val="28"/>
        </w:rPr>
        <w:t>价一览表</w:t>
      </w:r>
    </w:p>
    <w:tbl>
      <w:tblPr>
        <w:tblStyle w:val="7"/>
        <w:tblW w:w="9420" w:type="dxa"/>
        <w:jc w:val="center"/>
        <w:tblLayout w:type="fixed"/>
        <w:tblCellMar>
          <w:top w:w="0" w:type="dxa"/>
          <w:left w:w="0" w:type="dxa"/>
          <w:bottom w:w="0" w:type="dxa"/>
          <w:right w:w="0" w:type="dxa"/>
        </w:tblCellMar>
      </w:tblPr>
      <w:tblGrid>
        <w:gridCol w:w="695"/>
        <w:gridCol w:w="1393"/>
        <w:gridCol w:w="3584"/>
        <w:gridCol w:w="1333"/>
        <w:gridCol w:w="800"/>
        <w:gridCol w:w="967"/>
        <w:gridCol w:w="648"/>
      </w:tblGrid>
      <w:tr>
        <w:tblPrEx>
          <w:tblCellMar>
            <w:top w:w="0" w:type="dxa"/>
            <w:left w:w="0" w:type="dxa"/>
            <w:bottom w:w="0" w:type="dxa"/>
            <w:right w:w="0" w:type="dxa"/>
          </w:tblCellMar>
        </w:tblPrEx>
        <w:trPr>
          <w:trHeight w:val="540" w:hRule="atLeast"/>
          <w:jc w:val="center"/>
        </w:trPr>
        <w:tc>
          <w:tcPr>
            <w:tcW w:w="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序号</w:t>
            </w:r>
          </w:p>
        </w:tc>
        <w:tc>
          <w:tcPr>
            <w:tcW w:w="1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询价项目</w:t>
            </w:r>
          </w:p>
        </w:tc>
        <w:tc>
          <w:tcPr>
            <w:tcW w:w="3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4"/>
              </w:rPr>
            </w:pPr>
            <w:r>
              <w:rPr>
                <w:rFonts w:hint="eastAsia" w:ascii="宋体" w:hAnsi="宋体" w:cs="宋体"/>
                <w:color w:val="auto"/>
                <w:sz w:val="24"/>
              </w:rPr>
              <w:t>服务内容</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最高控制价</w:t>
            </w:r>
          </w:p>
          <w:p>
            <w:pPr>
              <w:widowControl/>
              <w:jc w:val="center"/>
              <w:textAlignment w:val="center"/>
              <w:rPr>
                <w:rFonts w:ascii="宋体" w:hAnsi="宋体" w:cs="宋体"/>
                <w:color w:val="auto"/>
                <w:kern w:val="0"/>
                <w:sz w:val="24"/>
              </w:rPr>
            </w:pPr>
            <w:r>
              <w:rPr>
                <w:rFonts w:hint="eastAsia" w:ascii="宋体" w:hAnsi="宋体" w:cs="宋体"/>
                <w:color w:val="auto"/>
                <w:kern w:val="0"/>
                <w:sz w:val="24"/>
              </w:rPr>
              <w:t>（万元）</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折扣</w:t>
            </w:r>
          </w:p>
          <w:p>
            <w:pPr>
              <w:widowControl/>
              <w:jc w:val="center"/>
              <w:textAlignment w:val="center"/>
              <w:rPr>
                <w:rFonts w:ascii="宋体" w:hAnsi="宋体" w:cs="宋体"/>
                <w:color w:val="auto"/>
                <w:kern w:val="0"/>
                <w:sz w:val="24"/>
              </w:rPr>
            </w:pPr>
            <w:r>
              <w:rPr>
                <w:rFonts w:hint="eastAsia" w:ascii="宋体" w:hAnsi="宋体" w:cs="宋体"/>
                <w:color w:val="auto"/>
                <w:kern w:val="0"/>
                <w:sz w:val="24"/>
              </w:rPr>
              <w:t>系数</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报价</w:t>
            </w:r>
          </w:p>
          <w:p>
            <w:pPr>
              <w:widowControl/>
              <w:jc w:val="center"/>
              <w:textAlignment w:val="center"/>
              <w:rPr>
                <w:rFonts w:ascii="宋体" w:hAnsi="宋体" w:cs="宋体"/>
                <w:color w:val="auto"/>
                <w:kern w:val="0"/>
                <w:sz w:val="24"/>
              </w:rPr>
            </w:pPr>
            <w:r>
              <w:rPr>
                <w:rFonts w:hint="eastAsia" w:ascii="宋体" w:hAnsi="宋体" w:cs="宋体"/>
                <w:color w:val="auto"/>
                <w:kern w:val="0"/>
                <w:sz w:val="24"/>
              </w:rPr>
              <w:t>总价</w:t>
            </w:r>
          </w:p>
          <w:p>
            <w:pPr>
              <w:widowControl/>
              <w:jc w:val="center"/>
              <w:textAlignment w:val="center"/>
              <w:rPr>
                <w:rFonts w:ascii="宋体" w:hAnsi="宋体" w:cs="宋体"/>
                <w:color w:val="auto"/>
                <w:kern w:val="0"/>
                <w:sz w:val="24"/>
              </w:rPr>
            </w:pPr>
            <w:r>
              <w:rPr>
                <w:rFonts w:hint="eastAsia" w:ascii="宋体" w:hAnsi="宋体" w:cs="宋体"/>
                <w:color w:val="auto"/>
                <w:kern w:val="0"/>
                <w:sz w:val="24"/>
              </w:rPr>
              <w:t>（万元）</w:t>
            </w:r>
          </w:p>
        </w:tc>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备注</w:t>
            </w:r>
          </w:p>
        </w:tc>
      </w:tr>
      <w:tr>
        <w:tblPrEx>
          <w:tblCellMar>
            <w:top w:w="0" w:type="dxa"/>
            <w:left w:w="0" w:type="dxa"/>
            <w:bottom w:w="0" w:type="dxa"/>
            <w:right w:w="0" w:type="dxa"/>
          </w:tblCellMar>
        </w:tblPrEx>
        <w:trPr>
          <w:trHeight w:val="375" w:hRule="atLeast"/>
          <w:jc w:val="center"/>
        </w:trPr>
        <w:tc>
          <w:tcPr>
            <w:tcW w:w="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1</w:t>
            </w:r>
          </w:p>
        </w:tc>
        <w:tc>
          <w:tcPr>
            <w:tcW w:w="13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福州滨海新城三大运营商及省电云计算IDC供水工程</w:t>
            </w:r>
            <w:r>
              <w:rPr>
                <w:rFonts w:hint="eastAsia" w:ascii="宋体" w:hAnsi="宋体" w:cs="宋体"/>
                <w:color w:val="auto"/>
                <w:sz w:val="24"/>
              </w:rPr>
              <w:t>防洪影响评价报告</w:t>
            </w:r>
          </w:p>
          <w:p>
            <w:pPr>
              <w:widowControl/>
              <w:jc w:val="center"/>
              <w:textAlignment w:val="center"/>
              <w:rPr>
                <w:rFonts w:ascii="宋体" w:hAnsi="宋体" w:cs="宋体"/>
                <w:color w:val="auto"/>
                <w:sz w:val="24"/>
              </w:rPr>
            </w:pPr>
          </w:p>
        </w:tc>
        <w:tc>
          <w:tcPr>
            <w:tcW w:w="3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auto"/>
                <w:sz w:val="24"/>
              </w:rPr>
            </w:pPr>
            <w:r>
              <w:rPr>
                <w:rFonts w:hint="eastAsia" w:ascii="宋体" w:hAnsi="宋体" w:cs="宋体"/>
                <w:color w:val="auto"/>
                <w:sz w:val="24"/>
              </w:rPr>
              <w:t>1、服务项目：</w:t>
            </w:r>
            <w:r>
              <w:rPr>
                <w:rFonts w:hint="eastAsia" w:ascii="宋体" w:hAnsi="宋体" w:cs="宋体"/>
                <w:color w:val="auto"/>
                <w:sz w:val="24"/>
              </w:rPr>
              <w:t>福州滨海新城三大运营商及省电云计算IDC供水工程</w:t>
            </w:r>
            <w:r>
              <w:rPr>
                <w:rFonts w:hint="eastAsia" w:ascii="宋体" w:hAnsi="宋体" w:cs="宋体"/>
                <w:color w:val="auto"/>
                <w:sz w:val="24"/>
              </w:rPr>
              <w:t>防洪影响评价报告。</w:t>
            </w:r>
          </w:p>
          <w:p>
            <w:pPr>
              <w:widowControl/>
              <w:jc w:val="left"/>
              <w:textAlignment w:val="center"/>
              <w:rPr>
                <w:rFonts w:ascii="宋体" w:hAnsi="宋体" w:cs="宋体"/>
                <w:color w:val="auto"/>
                <w:sz w:val="24"/>
              </w:rPr>
            </w:pPr>
            <w:r>
              <w:rPr>
                <w:rFonts w:hint="eastAsia" w:ascii="宋体" w:hAnsi="宋体" w:cs="宋体"/>
                <w:color w:val="auto"/>
                <w:sz w:val="24"/>
              </w:rPr>
              <w:t>2、成果要求：调查报告需由具有</w:t>
            </w:r>
            <w:r>
              <w:rPr>
                <w:rFonts w:hint="eastAsia" w:ascii="宋体" w:hAnsi="宋体" w:cs="宋体"/>
                <w:color w:val="auto"/>
                <w:sz w:val="24"/>
                <w:shd w:val="clear" w:color="auto" w:fill="FFFFFF"/>
              </w:rPr>
              <w:t>水利工程设计行业丙级及丙级</w:t>
            </w:r>
            <w:r>
              <w:rPr>
                <w:rFonts w:hint="eastAsia" w:ascii="宋体" w:hAnsi="宋体" w:cs="宋体"/>
                <w:color w:val="auto"/>
                <w:sz w:val="24"/>
              </w:rPr>
              <w:t>以上资质的单位（成交供应商）出具，且提供原件纸质版6份及电子档文件1份</w:t>
            </w:r>
            <w:r>
              <w:rPr>
                <w:rFonts w:hint="eastAsia" w:ascii="宋体" w:hAnsi="宋体" w:cs="宋体"/>
                <w:color w:val="auto"/>
                <w:sz w:val="24"/>
              </w:rPr>
              <w:t xml:space="preserve">。 </w:t>
            </w:r>
          </w:p>
          <w:p>
            <w:pPr>
              <w:widowControl/>
              <w:jc w:val="left"/>
              <w:textAlignment w:val="center"/>
              <w:rPr>
                <w:rFonts w:ascii="宋体" w:hAnsi="宋体" w:cs="宋体"/>
                <w:color w:val="auto"/>
                <w:sz w:val="24"/>
              </w:rPr>
            </w:pPr>
            <w:r>
              <w:rPr>
                <w:rFonts w:hint="eastAsia" w:ascii="宋体" w:hAnsi="宋体" w:cs="宋体"/>
                <w:color w:val="auto"/>
                <w:sz w:val="24"/>
              </w:rPr>
              <w:t>3、防洪影响评价报告需报送福州市长乐区水利局，</w:t>
            </w:r>
            <w:bookmarkStart w:id="0" w:name="_Hlk54360241"/>
            <w:r>
              <w:rPr>
                <w:rFonts w:hint="eastAsia" w:ascii="宋体" w:hAnsi="宋体" w:cs="宋体"/>
                <w:color w:val="auto"/>
                <w:sz w:val="24"/>
              </w:rPr>
              <w:t>由福州市长乐区水利局会同水行政主管部门组织专家评审</w:t>
            </w:r>
            <w:bookmarkEnd w:id="0"/>
            <w:r>
              <w:rPr>
                <w:rFonts w:hint="eastAsia" w:ascii="宋体" w:hAnsi="宋体" w:cs="宋体"/>
                <w:color w:val="auto"/>
                <w:sz w:val="24"/>
              </w:rPr>
              <w:t>，并根据主管部门及专家意见修改完善，最终取得批复函。</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kern w:val="0"/>
                <w:sz w:val="24"/>
              </w:rPr>
            </w:pPr>
            <w:r>
              <w:rPr>
                <w:rFonts w:ascii="宋体" w:hAnsi="宋体" w:cs="宋体"/>
                <w:color w:val="auto"/>
                <w:kern w:val="0"/>
                <w:sz w:val="24"/>
              </w:rPr>
              <w:t>18</w:t>
            </w:r>
          </w:p>
        </w:tc>
        <w:tc>
          <w:tcPr>
            <w:tcW w:w="800" w:type="dxa"/>
            <w:tcBorders>
              <w:top w:val="single" w:color="000000" w:sz="4" w:space="0"/>
              <w:left w:val="single" w:color="000000" w:sz="4" w:space="0"/>
              <w:right w:val="single" w:color="000000" w:sz="4" w:space="0"/>
            </w:tcBorders>
          </w:tcPr>
          <w:p>
            <w:pPr>
              <w:widowControl/>
              <w:jc w:val="center"/>
              <w:textAlignment w:val="center"/>
              <w:rPr>
                <w:rFonts w:ascii="宋体" w:hAnsi="宋体" w:cs="宋体"/>
                <w:color w:val="auto"/>
                <w:kern w:val="0"/>
                <w:sz w:val="24"/>
              </w:rPr>
            </w:pPr>
          </w:p>
        </w:tc>
        <w:tc>
          <w:tcPr>
            <w:tcW w:w="96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auto"/>
                <w:kern w:val="0"/>
                <w:sz w:val="24"/>
              </w:rPr>
            </w:pPr>
          </w:p>
        </w:tc>
        <w:tc>
          <w:tcPr>
            <w:tcW w:w="64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auto"/>
                <w:kern w:val="0"/>
                <w:sz w:val="24"/>
              </w:rPr>
            </w:pPr>
          </w:p>
        </w:tc>
      </w:tr>
      <w:tr>
        <w:tblPrEx>
          <w:tblCellMar>
            <w:top w:w="0" w:type="dxa"/>
            <w:left w:w="0" w:type="dxa"/>
            <w:bottom w:w="0" w:type="dxa"/>
            <w:right w:w="0" w:type="dxa"/>
          </w:tblCellMar>
        </w:tblPrEx>
        <w:trPr>
          <w:trHeight w:val="375" w:hRule="atLeast"/>
          <w:jc w:val="center"/>
        </w:trPr>
        <w:tc>
          <w:tcPr>
            <w:tcW w:w="20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合计（含税）</w:t>
            </w:r>
          </w:p>
        </w:tc>
        <w:tc>
          <w:tcPr>
            <w:tcW w:w="733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auto"/>
                <w:sz w:val="24"/>
              </w:rPr>
            </w:pPr>
            <w:r>
              <w:rPr>
                <w:rFonts w:hint="eastAsia"/>
                <w:color w:val="auto"/>
                <w:sz w:val="24"/>
              </w:rPr>
              <w:t>大写：（小写：元）</w:t>
            </w:r>
          </w:p>
        </w:tc>
      </w:tr>
    </w:tbl>
    <w:p>
      <w:pPr>
        <w:widowControl/>
        <w:snapToGrid w:val="0"/>
        <w:spacing w:line="500" w:lineRule="exact"/>
        <w:ind w:firstLine="480" w:firstLineChars="200"/>
        <w:jc w:val="left"/>
        <w:rPr>
          <w:rFonts w:ascii="宋体" w:hAnsi="宋体" w:cs="Arial Unicode MS"/>
          <w:color w:val="auto"/>
          <w:kern w:val="0"/>
          <w:sz w:val="24"/>
        </w:rPr>
      </w:pPr>
      <w:r>
        <w:rPr>
          <w:rFonts w:hint="eastAsia" w:ascii="宋体" w:hAnsi="宋体" w:cs="Arial Unicode MS"/>
          <w:color w:val="auto"/>
          <w:kern w:val="0"/>
          <w:sz w:val="24"/>
        </w:rPr>
        <w:t>3、报价文件应</w:t>
      </w:r>
      <w:r>
        <w:rPr>
          <w:rFonts w:hint="eastAsia" w:ascii="宋体" w:hAnsi="宋体" w:cs="Arial Unicode MS"/>
          <w:b/>
          <w:color w:val="auto"/>
          <w:kern w:val="0"/>
          <w:sz w:val="24"/>
        </w:rPr>
        <w:t>一式两份</w:t>
      </w:r>
      <w:r>
        <w:rPr>
          <w:rFonts w:hint="eastAsia" w:ascii="宋体" w:hAnsi="宋体" w:cs="Arial Unicode MS"/>
          <w:color w:val="auto"/>
          <w:kern w:val="0"/>
          <w:sz w:val="24"/>
        </w:rPr>
        <w:t>用密封的形式,</w:t>
      </w:r>
      <w:r>
        <w:rPr>
          <w:rFonts w:hint="eastAsia" w:ascii="宋体" w:hAnsi="宋体" w:cs="宋体"/>
          <w:color w:val="auto"/>
          <w:kern w:val="0"/>
          <w:sz w:val="24"/>
        </w:rPr>
        <w:t>并在密封面注明询价项目名称、编号、供应商名称、联系人、联系电话等，同时在各密封处加盖公章</w:t>
      </w:r>
      <w:r>
        <w:rPr>
          <w:rFonts w:hint="eastAsia" w:ascii="宋体" w:hAnsi="宋体" w:cs="Arial Unicode MS"/>
          <w:color w:val="auto"/>
          <w:kern w:val="0"/>
          <w:sz w:val="24"/>
        </w:rPr>
        <w:t>寄送至我司。</w:t>
      </w:r>
    </w:p>
    <w:p>
      <w:pPr>
        <w:widowControl/>
        <w:snapToGrid w:val="0"/>
        <w:spacing w:line="500" w:lineRule="exact"/>
        <w:ind w:firstLine="480" w:firstLineChars="200"/>
        <w:jc w:val="left"/>
        <w:rPr>
          <w:rFonts w:ascii="宋体" w:hAnsi="宋体" w:cs="Arial Unicode MS"/>
          <w:color w:val="auto"/>
          <w:kern w:val="0"/>
          <w:sz w:val="24"/>
        </w:rPr>
      </w:pPr>
      <w:r>
        <w:rPr>
          <w:rFonts w:hint="eastAsia" w:ascii="宋体" w:hAnsi="宋体" w:cs="Arial Unicode MS"/>
          <w:color w:val="auto"/>
          <w:kern w:val="0"/>
          <w:sz w:val="24"/>
        </w:rPr>
        <w:t>报价文件送达时间:自询价公告发布起第五个工作日</w:t>
      </w:r>
      <w:r>
        <w:rPr>
          <w:rFonts w:hint="eastAsia" w:ascii="宋体" w:hAnsi="宋体"/>
          <w:color w:val="auto"/>
          <w:kern w:val="0"/>
          <w:sz w:val="24"/>
        </w:rPr>
        <w:t>之内</w:t>
      </w:r>
      <w:r>
        <w:rPr>
          <w:rFonts w:hint="eastAsia" w:ascii="宋体" w:hAnsi="宋体"/>
          <w:color w:val="auto"/>
          <w:sz w:val="24"/>
        </w:rPr>
        <w:t>，</w:t>
      </w:r>
      <w:r>
        <w:rPr>
          <w:rFonts w:hint="eastAsia" w:ascii="宋体" w:hAnsi="宋体" w:cs="Arial Unicode MS"/>
          <w:color w:val="auto"/>
          <w:kern w:val="0"/>
          <w:sz w:val="24"/>
        </w:rPr>
        <w:t>未按此要求的，将被视为无效报价文件。</w:t>
      </w:r>
    </w:p>
    <w:p>
      <w:pPr>
        <w:widowControl/>
        <w:numPr>
          <w:ilvl w:val="0"/>
          <w:numId w:val="1"/>
        </w:numPr>
        <w:snapToGrid w:val="0"/>
        <w:spacing w:line="500" w:lineRule="exact"/>
        <w:ind w:firstLine="480" w:firstLineChars="200"/>
        <w:rPr>
          <w:rFonts w:ascii="宋体" w:hAnsi="宋体" w:cs="Arial Unicode MS"/>
          <w:color w:val="auto"/>
          <w:sz w:val="24"/>
        </w:rPr>
      </w:pPr>
      <w:r>
        <w:rPr>
          <w:rFonts w:hint="eastAsia" w:ascii="宋体" w:hAnsi="宋体" w:cs="Arial Unicode MS"/>
          <w:color w:val="auto"/>
          <w:kern w:val="0"/>
          <w:sz w:val="24"/>
        </w:rPr>
        <w:t>收件人：林</w:t>
      </w:r>
      <w:r>
        <w:rPr>
          <w:rFonts w:hint="eastAsia" w:ascii="宋体" w:hAnsi="宋体" w:cs="Arial Unicode MS"/>
          <w:color w:val="auto"/>
          <w:sz w:val="24"/>
        </w:rPr>
        <w:t>女士；联系电话：17746072996</w:t>
      </w:r>
    </w:p>
    <w:p>
      <w:pPr>
        <w:widowControl/>
        <w:snapToGrid w:val="0"/>
        <w:spacing w:line="500" w:lineRule="exact"/>
        <w:ind w:firstLine="480" w:firstLineChars="200"/>
        <w:rPr>
          <w:rFonts w:ascii="宋体" w:hAnsi="宋体" w:cs="Arial Unicode MS"/>
          <w:color w:val="auto"/>
          <w:kern w:val="0"/>
          <w:sz w:val="24"/>
        </w:rPr>
      </w:pPr>
      <w:r>
        <w:rPr>
          <w:rFonts w:hint="eastAsia" w:ascii="宋体" w:hAnsi="宋体" w:cs="Arial Unicode MS"/>
          <w:color w:val="auto"/>
          <w:kern w:val="0"/>
          <w:sz w:val="24"/>
        </w:rPr>
        <w:t>地址：福州市长乐区漳港街道滨海新城建设总指挥部6层滨海水务公司（翔福物流园A区运管中心大楼）</w:t>
      </w:r>
    </w:p>
    <w:p>
      <w:pPr>
        <w:widowControl/>
        <w:numPr>
          <w:ilvl w:val="0"/>
          <w:numId w:val="2"/>
        </w:numPr>
        <w:snapToGrid w:val="0"/>
        <w:spacing w:line="500" w:lineRule="exact"/>
        <w:ind w:firstLine="480" w:firstLineChars="200"/>
        <w:jc w:val="left"/>
        <w:rPr>
          <w:rFonts w:ascii="宋体" w:hAnsi="宋体" w:cs="Arial Unicode MS"/>
          <w:color w:val="auto"/>
          <w:kern w:val="0"/>
          <w:sz w:val="24"/>
        </w:rPr>
      </w:pPr>
      <w:r>
        <w:rPr>
          <w:rFonts w:hint="eastAsia" w:ascii="宋体" w:hAnsi="宋体" w:cs="Arial Unicode MS"/>
          <w:color w:val="auto"/>
          <w:kern w:val="0"/>
          <w:sz w:val="24"/>
        </w:rPr>
        <w:t>备注：</w:t>
      </w:r>
      <w:r>
        <w:rPr>
          <w:rFonts w:hint="eastAsia" w:ascii="宋体" w:hAnsi="宋体" w:cs="Arial Unicode MS"/>
          <w:b/>
          <w:color w:val="auto"/>
          <w:kern w:val="0"/>
          <w:sz w:val="24"/>
        </w:rPr>
        <w:t>本次询价采购服务合计最高限价为人民币</w:t>
      </w:r>
      <w:r>
        <w:rPr>
          <w:rFonts w:ascii="宋体" w:hAnsi="宋体" w:cs="Arial Unicode MS"/>
          <w:b/>
          <w:color w:val="auto"/>
          <w:kern w:val="0"/>
          <w:sz w:val="24"/>
        </w:rPr>
        <w:t>18</w:t>
      </w:r>
      <w:r>
        <w:rPr>
          <w:rFonts w:hint="eastAsia" w:ascii="宋体" w:hAnsi="宋体" w:cs="Arial Unicode MS"/>
          <w:b/>
          <w:color w:val="auto"/>
          <w:kern w:val="0"/>
          <w:sz w:val="24"/>
        </w:rPr>
        <w:t>万元</w:t>
      </w:r>
      <w:r>
        <w:rPr>
          <w:rFonts w:hint="eastAsia"/>
          <w:b/>
          <w:bCs/>
          <w:color w:val="auto"/>
          <w:sz w:val="24"/>
        </w:rPr>
        <w:t>（大写：拾捌 万元整）</w:t>
      </w:r>
      <w:r>
        <w:rPr>
          <w:rFonts w:hint="eastAsia" w:ascii="宋体" w:hAnsi="宋体" w:cs="Arial Unicode MS"/>
          <w:color w:val="auto"/>
          <w:kern w:val="0"/>
          <w:sz w:val="24"/>
        </w:rPr>
        <w:t>，报价人最终报价总价</w:t>
      </w:r>
      <w:r>
        <w:rPr>
          <w:rFonts w:hint="eastAsia" w:ascii="宋体" w:hAnsi="宋体" w:cs="宋体"/>
          <w:color w:val="auto"/>
          <w:kern w:val="0"/>
          <w:sz w:val="24"/>
        </w:rPr>
        <w:t>（暂定总额）</w:t>
      </w:r>
      <w:r>
        <w:rPr>
          <w:rFonts w:hint="eastAsia" w:ascii="宋体" w:hAnsi="宋体" w:cs="Arial Unicode MS"/>
          <w:color w:val="auto"/>
          <w:kern w:val="0"/>
          <w:sz w:val="24"/>
        </w:rPr>
        <w:t>超出最高限价则为无效报价。报价人报价应含报价折扣系数（0＜报价折扣系数≤1）及报价总价，其中报价总价为按照“6、计价依据”计算得出的最高控制价根据报价折扣系数下浮后确定</w:t>
      </w:r>
      <w:r>
        <w:rPr>
          <w:rFonts w:hint="eastAsia" w:ascii="宋体" w:hAnsi="宋体" w:cs="宋体"/>
          <w:color w:val="auto"/>
          <w:kern w:val="0"/>
          <w:sz w:val="24"/>
        </w:rPr>
        <w:t>，各分项最高控制价详见询价一览表。最终报价总价（暂定总额）=∑各分项报价总价=∑（各分项最高控制价*</w:t>
      </w:r>
      <w:r>
        <w:rPr>
          <w:rFonts w:hint="eastAsia" w:ascii="宋体" w:hAnsi="宋体" w:cs="Tahoma"/>
          <w:color w:val="auto"/>
          <w:kern w:val="0"/>
          <w:sz w:val="24"/>
        </w:rPr>
        <w:t>报价折扣系数）</w:t>
      </w:r>
      <w:r>
        <w:rPr>
          <w:rFonts w:hint="eastAsia" w:ascii="宋体" w:hAnsi="宋体" w:cs="宋体"/>
          <w:color w:val="auto"/>
          <w:kern w:val="0"/>
          <w:sz w:val="24"/>
        </w:rPr>
        <w:t>。</w:t>
      </w:r>
      <w:r>
        <w:rPr>
          <w:rFonts w:hint="eastAsia" w:ascii="宋体" w:hAnsi="宋体" w:cs="Arial Unicode MS"/>
          <w:color w:val="auto"/>
          <w:kern w:val="0"/>
          <w:sz w:val="24"/>
        </w:rPr>
        <w:t>报价人报价非合同最终价格，</w:t>
      </w:r>
      <w:r>
        <w:rPr>
          <w:rFonts w:hint="eastAsia"/>
          <w:color w:val="auto"/>
          <w:sz w:val="24"/>
        </w:rPr>
        <w:t>最终价格</w:t>
      </w:r>
      <w:r>
        <w:rPr>
          <w:rFonts w:hint="eastAsia" w:ascii="宋体" w:hAnsi="宋体" w:cs="Tahoma"/>
          <w:color w:val="auto"/>
          <w:kern w:val="0"/>
          <w:sz w:val="24"/>
        </w:rPr>
        <w:t>以财政审核价或采购人委托有资质的第三方审核机构审后价*报价折扣系数为准</w:t>
      </w:r>
      <w:r>
        <w:rPr>
          <w:rFonts w:hint="eastAsia" w:ascii="宋体" w:hAnsi="宋体" w:cs="Tahoma"/>
          <w:color w:val="auto"/>
          <w:kern w:val="0"/>
          <w:sz w:val="24"/>
        </w:rPr>
        <w:t>，</w:t>
      </w:r>
      <w:r>
        <w:rPr>
          <w:rFonts w:hint="eastAsia" w:ascii="宋体" w:hAnsi="宋体" w:cs="Tahoma"/>
          <w:color w:val="auto"/>
          <w:kern w:val="0"/>
          <w:sz w:val="24"/>
        </w:rPr>
        <w:t>但最高总价不超过</w:t>
      </w:r>
      <w:r>
        <w:rPr>
          <w:rFonts w:ascii="宋体" w:hAnsi="宋体" w:cs="Tahoma"/>
          <w:color w:val="auto"/>
          <w:kern w:val="0"/>
          <w:sz w:val="24"/>
        </w:rPr>
        <w:t>18</w:t>
      </w:r>
      <w:r>
        <w:rPr>
          <w:rFonts w:hint="eastAsia" w:ascii="宋体" w:hAnsi="宋体" w:cs="Tahoma"/>
          <w:color w:val="auto"/>
          <w:kern w:val="0"/>
          <w:sz w:val="24"/>
        </w:rPr>
        <w:t>万元</w:t>
      </w:r>
      <w:r>
        <w:rPr>
          <w:rFonts w:hint="eastAsia" w:ascii="宋体" w:hAnsi="宋体" w:cs="Tahoma"/>
          <w:color w:val="auto"/>
          <w:kern w:val="0"/>
          <w:sz w:val="24"/>
        </w:rPr>
        <w:t>。</w:t>
      </w:r>
    </w:p>
    <w:p>
      <w:pPr>
        <w:widowControl/>
        <w:numPr>
          <w:ilvl w:val="0"/>
          <w:numId w:val="2"/>
        </w:numPr>
        <w:snapToGrid w:val="0"/>
        <w:spacing w:line="500" w:lineRule="exact"/>
        <w:ind w:firstLine="480" w:firstLineChars="200"/>
        <w:jc w:val="left"/>
        <w:rPr>
          <w:rFonts w:ascii="宋体" w:hAnsi="宋体" w:cs="Arial Unicode MS"/>
          <w:color w:val="auto"/>
          <w:kern w:val="0"/>
          <w:sz w:val="24"/>
        </w:rPr>
      </w:pPr>
      <w:r>
        <w:rPr>
          <w:rFonts w:hint="eastAsia" w:ascii="宋体" w:hAnsi="宋体" w:cs="Arial Unicode MS"/>
          <w:color w:val="auto"/>
          <w:kern w:val="0"/>
          <w:sz w:val="24"/>
        </w:rPr>
        <w:t>计价依据：</w:t>
      </w:r>
    </w:p>
    <w:p>
      <w:pPr>
        <w:widowControl/>
        <w:snapToGrid w:val="0"/>
        <w:spacing w:line="500" w:lineRule="exact"/>
        <w:ind w:firstLine="480" w:firstLineChars="200"/>
        <w:jc w:val="left"/>
        <w:rPr>
          <w:rFonts w:ascii="宋体" w:hAnsi="宋体" w:cs="Arial Unicode MS"/>
          <w:color w:val="auto"/>
          <w:kern w:val="0"/>
          <w:sz w:val="24"/>
        </w:rPr>
      </w:pPr>
      <w:r>
        <w:rPr>
          <w:rFonts w:hint="eastAsia" w:ascii="宋体" w:hAnsi="宋体" w:cs="Arial Unicode MS"/>
          <w:color w:val="auto"/>
          <w:kern w:val="0"/>
          <w:sz w:val="24"/>
        </w:rPr>
        <w:t xml:space="preserve">6.1 </w:t>
      </w:r>
      <w:r>
        <w:rPr>
          <w:rFonts w:hint="eastAsia" w:ascii="宋体" w:hAnsi="宋体" w:cs="宋体"/>
          <w:color w:val="auto"/>
          <w:sz w:val="24"/>
        </w:rPr>
        <w:t>国家计委、建设部[2002]计价格10号文“关于发布《工程勘察和工程设计收费管理规定》的通知”及《工程勘察设计收费标准》（2002年修订本）</w:t>
      </w:r>
      <w:r>
        <w:rPr>
          <w:rFonts w:hint="eastAsia" w:ascii="宋体" w:hAnsi="宋体" w:cs="Arial Unicode MS"/>
          <w:color w:val="auto"/>
          <w:kern w:val="0"/>
          <w:sz w:val="24"/>
        </w:rPr>
        <w:t>。</w:t>
      </w:r>
    </w:p>
    <w:p>
      <w:pPr>
        <w:widowControl/>
        <w:snapToGrid w:val="0"/>
        <w:spacing w:line="500" w:lineRule="exact"/>
        <w:ind w:firstLine="480" w:firstLineChars="200"/>
        <w:jc w:val="left"/>
        <w:rPr>
          <w:rFonts w:ascii="宋体" w:hAnsi="宋体" w:cs="Arial Unicode MS"/>
          <w:color w:val="auto"/>
          <w:kern w:val="0"/>
          <w:sz w:val="24"/>
        </w:rPr>
      </w:pPr>
      <w:r>
        <w:rPr>
          <w:rFonts w:hint="eastAsia" w:ascii="宋体" w:hAnsi="宋体" w:cs="Arial Unicode MS"/>
          <w:color w:val="auto"/>
          <w:kern w:val="0"/>
          <w:sz w:val="24"/>
        </w:rPr>
        <w:t>6.2</w:t>
      </w:r>
      <w:r>
        <w:rPr>
          <w:rFonts w:hint="eastAsia" w:ascii="宋体" w:hAnsi="宋体" w:cs="宋体"/>
          <w:color w:val="auto"/>
          <w:sz w:val="24"/>
        </w:rPr>
        <w:t>《水文专业有偿服务收费管理试行办法》（水利部，1994年6月）</w:t>
      </w:r>
    </w:p>
    <w:p>
      <w:pPr>
        <w:widowControl/>
        <w:snapToGrid w:val="0"/>
        <w:spacing w:line="500" w:lineRule="exact"/>
        <w:ind w:firstLine="480" w:firstLineChars="200"/>
        <w:jc w:val="left"/>
        <w:rPr>
          <w:rFonts w:ascii="宋体" w:hAnsi="宋体" w:cs="宋体"/>
          <w:color w:val="auto"/>
          <w:sz w:val="24"/>
        </w:rPr>
      </w:pPr>
      <w:r>
        <w:rPr>
          <w:rFonts w:hint="eastAsia" w:ascii="宋体" w:hAnsi="宋体" w:cs="Arial Unicode MS"/>
          <w:color w:val="auto"/>
          <w:kern w:val="0"/>
          <w:sz w:val="24"/>
        </w:rPr>
        <w:t>6.3</w:t>
      </w:r>
      <w:r>
        <w:rPr>
          <w:rFonts w:hint="eastAsia" w:ascii="宋体" w:hAnsi="宋体" w:cs="宋体"/>
          <w:color w:val="auto"/>
          <w:sz w:val="24"/>
        </w:rPr>
        <w:t>福州滨海新城三大运营商及省电云计算IDC供水工程管线可研报告、路由</w:t>
      </w:r>
      <w:r>
        <w:rPr>
          <w:rFonts w:hint="eastAsia" w:ascii="宋体" w:hAnsi="宋体" w:cs="宋体"/>
          <w:color w:val="auto"/>
          <w:sz w:val="24"/>
        </w:rPr>
        <w:t>图（见附件）</w:t>
      </w:r>
    </w:p>
    <w:p>
      <w:pPr>
        <w:spacing w:line="560" w:lineRule="exact"/>
        <w:ind w:firstLine="480" w:firstLineChars="200"/>
        <w:rPr>
          <w:rFonts w:ascii="宋体" w:hAnsi="宋体" w:cs="Arial Unicode MS"/>
          <w:color w:val="auto"/>
          <w:kern w:val="0"/>
          <w:sz w:val="24"/>
        </w:rPr>
      </w:pPr>
      <w:r>
        <w:rPr>
          <w:rFonts w:hint="eastAsia" w:ascii="宋体" w:hAnsi="宋体" w:cs="Arial Unicode MS"/>
          <w:color w:val="auto"/>
          <w:kern w:val="0"/>
          <w:sz w:val="24"/>
        </w:rPr>
        <w:t>7、结算办法：合同另行约定（详见附件《防洪影响评价报告服务采购合同》）。</w:t>
      </w:r>
    </w:p>
    <w:p>
      <w:pPr>
        <w:spacing w:line="560" w:lineRule="exact"/>
        <w:ind w:firstLine="480" w:firstLineChars="200"/>
        <w:rPr>
          <w:rFonts w:ascii="宋体" w:hAnsi="宋体" w:cs="Arial Unicode MS"/>
          <w:color w:val="auto"/>
          <w:kern w:val="0"/>
          <w:sz w:val="24"/>
        </w:rPr>
      </w:pPr>
      <w:r>
        <w:rPr>
          <w:rFonts w:hint="eastAsia" w:ascii="宋体" w:hAnsi="宋体" w:cs="Arial Unicode MS"/>
          <w:color w:val="auto"/>
          <w:kern w:val="0"/>
          <w:sz w:val="24"/>
        </w:rPr>
        <w:t>8、验收方式：取得</w:t>
      </w:r>
      <w:r>
        <w:rPr>
          <w:rFonts w:hint="eastAsia" w:ascii="宋体" w:hAnsi="宋体" w:cs="宋体"/>
          <w:color w:val="auto"/>
          <w:sz w:val="24"/>
        </w:rPr>
        <w:t>福州市长乐区水利局</w:t>
      </w:r>
      <w:r>
        <w:rPr>
          <w:rFonts w:hint="eastAsia" w:ascii="宋体" w:hAnsi="宋体" w:cs="Arial Unicode MS"/>
          <w:color w:val="auto"/>
          <w:kern w:val="0"/>
          <w:sz w:val="24"/>
        </w:rPr>
        <w:t>批复文件。</w:t>
      </w:r>
    </w:p>
    <w:p>
      <w:pPr>
        <w:widowControl/>
        <w:snapToGrid w:val="0"/>
        <w:spacing w:line="500" w:lineRule="exact"/>
        <w:ind w:firstLine="120" w:firstLineChars="50"/>
        <w:jc w:val="left"/>
        <w:rPr>
          <w:rFonts w:ascii="宋体" w:hAnsi="宋体" w:cs="Arial Unicode MS"/>
          <w:color w:val="auto"/>
          <w:kern w:val="0"/>
          <w:sz w:val="24"/>
        </w:rPr>
      </w:pPr>
      <w:r>
        <w:rPr>
          <w:rFonts w:hint="eastAsia" w:ascii="宋体" w:hAnsi="宋体" w:cs="Arial Unicode MS"/>
          <w:color w:val="auto"/>
          <w:kern w:val="0"/>
          <w:sz w:val="24"/>
        </w:rPr>
        <w:t>二、报价须知</w:t>
      </w:r>
    </w:p>
    <w:p>
      <w:pPr>
        <w:pStyle w:val="10"/>
        <w:spacing w:line="500" w:lineRule="exact"/>
        <w:ind w:firstLine="480"/>
        <w:rPr>
          <w:rFonts w:ascii="宋体" w:hAnsi="宋体"/>
          <w:color w:val="auto"/>
          <w:sz w:val="24"/>
          <w:szCs w:val="24"/>
        </w:rPr>
      </w:pPr>
      <w:r>
        <w:rPr>
          <w:rFonts w:hint="eastAsia" w:ascii="宋体" w:hAnsi="宋体" w:cs="Arial Unicode MS"/>
          <w:color w:val="auto"/>
          <w:kern w:val="0"/>
          <w:sz w:val="24"/>
        </w:rPr>
        <w:t>1、</w:t>
      </w:r>
      <w:r>
        <w:rPr>
          <w:rFonts w:hint="eastAsia" w:ascii="宋体" w:hAnsi="宋体" w:cs="Arial Unicode MS"/>
          <w:color w:val="auto"/>
          <w:kern w:val="0"/>
          <w:sz w:val="24"/>
          <w:szCs w:val="24"/>
        </w:rPr>
        <w:t>报价人需</w:t>
      </w:r>
      <w:r>
        <w:rPr>
          <w:rFonts w:hint="eastAsia" w:ascii="宋体" w:hAnsi="宋体"/>
          <w:color w:val="auto"/>
          <w:sz w:val="24"/>
          <w:szCs w:val="24"/>
        </w:rPr>
        <w:t>提供：</w:t>
      </w:r>
      <w:r>
        <w:rPr>
          <w:rFonts w:hint="eastAsia" w:ascii="宋体" w:hAnsi="宋体"/>
          <w:b/>
          <w:color w:val="auto"/>
          <w:sz w:val="24"/>
          <w:szCs w:val="24"/>
        </w:rPr>
        <w:t>营业执照复印件、法定代表人授权委托书、法定代表人身份证复印件、委托人身份证复印件</w:t>
      </w:r>
      <w:r>
        <w:rPr>
          <w:rFonts w:hint="eastAsia" w:ascii="宋体" w:hAnsi="宋体"/>
          <w:color w:val="auto"/>
          <w:sz w:val="24"/>
        </w:rPr>
        <w:t>，</w:t>
      </w:r>
      <w:r>
        <w:rPr>
          <w:rFonts w:hint="eastAsia" w:ascii="宋体" w:hAnsi="宋体" w:cs="宋体"/>
          <w:color w:val="auto"/>
          <w:sz w:val="24"/>
        </w:rPr>
        <w:t>具有履行合同所必需设备和专业技术能力</w:t>
      </w:r>
      <w:r>
        <w:rPr>
          <w:rFonts w:hint="eastAsia" w:ascii="宋体" w:hAnsi="宋体" w:cs="宋体"/>
          <w:b/>
          <w:color w:val="auto"/>
          <w:sz w:val="24"/>
        </w:rPr>
        <w:t>（具有</w:t>
      </w:r>
      <w:r>
        <w:rPr>
          <w:rFonts w:ascii="宋体" w:hAnsi="宋体" w:cs="宋体"/>
          <w:b/>
          <w:color w:val="auto"/>
          <w:sz w:val="24"/>
        </w:rPr>
        <w:t>水利工程设计行业丙级</w:t>
      </w:r>
      <w:r>
        <w:rPr>
          <w:rFonts w:hint="eastAsia" w:ascii="宋体" w:hAnsi="宋体" w:cs="宋体"/>
          <w:b/>
          <w:color w:val="auto"/>
          <w:sz w:val="24"/>
        </w:rPr>
        <w:t>及丙级以上资质资质、投标时提供具有一项以上近三年内防洪影响评价报告业绩合同复印件）</w:t>
      </w:r>
      <w:r>
        <w:rPr>
          <w:rFonts w:hint="eastAsia" w:ascii="宋体" w:hAnsi="宋体" w:cs="宋体"/>
          <w:bCs/>
          <w:color w:val="auto"/>
          <w:sz w:val="24"/>
        </w:rPr>
        <w:t>，</w:t>
      </w:r>
      <w:r>
        <w:rPr>
          <w:rFonts w:hint="eastAsia" w:ascii="宋体" w:hAnsi="宋体"/>
          <w:color w:val="auto"/>
          <w:sz w:val="24"/>
          <w:szCs w:val="24"/>
        </w:rPr>
        <w:t>以上文件需加盖公章，</w:t>
      </w:r>
      <w:r>
        <w:rPr>
          <w:rFonts w:hint="eastAsia" w:ascii="宋体" w:hAnsi="宋体" w:cs="宋体"/>
          <w:color w:val="auto"/>
          <w:kern w:val="0"/>
          <w:sz w:val="24"/>
          <w:szCs w:val="24"/>
        </w:rPr>
        <w:t>原件待询价人需要时备查</w:t>
      </w:r>
      <w:r>
        <w:rPr>
          <w:rFonts w:hint="eastAsia" w:ascii="宋体" w:hAnsi="宋体"/>
          <w:color w:val="auto"/>
          <w:sz w:val="24"/>
          <w:szCs w:val="24"/>
        </w:rPr>
        <w:t>。</w:t>
      </w:r>
      <w:r>
        <w:rPr>
          <w:rFonts w:hint="eastAsia" w:ascii="宋体" w:hAnsi="宋体" w:cs="宋体"/>
          <w:color w:val="auto"/>
          <w:kern w:val="0"/>
          <w:sz w:val="24"/>
          <w:szCs w:val="24"/>
        </w:rPr>
        <w:t>未按此要求的，将被视为无效报价文件。</w:t>
      </w:r>
    </w:p>
    <w:p>
      <w:pPr>
        <w:spacing w:line="500" w:lineRule="exact"/>
        <w:ind w:firstLine="480" w:firstLineChars="200"/>
        <w:rPr>
          <w:rFonts w:ascii="宋体" w:hAnsi="宋体" w:cs="Arial Unicode MS"/>
          <w:color w:val="auto"/>
          <w:kern w:val="0"/>
          <w:sz w:val="24"/>
        </w:rPr>
      </w:pPr>
      <w:r>
        <w:rPr>
          <w:rFonts w:hint="eastAsia" w:ascii="宋体" w:hAnsi="宋体" w:cs="宋体"/>
          <w:color w:val="auto"/>
          <w:sz w:val="24"/>
        </w:rPr>
        <w:t>2、</w:t>
      </w:r>
      <w:r>
        <w:rPr>
          <w:rFonts w:hint="eastAsia" w:ascii="宋体" w:hAnsi="宋体" w:cs="Arial Unicode MS"/>
          <w:color w:val="auto"/>
          <w:kern w:val="0"/>
          <w:sz w:val="24"/>
        </w:rPr>
        <w:t>报价人报价的服务必须符合“</w:t>
      </w:r>
      <w:r>
        <w:rPr>
          <w:rFonts w:hint="eastAsia" w:ascii="宋体" w:hAnsi="宋体" w:cs="Arial Unicode MS"/>
          <w:b/>
          <w:bCs/>
          <w:color w:val="auto"/>
          <w:kern w:val="0"/>
          <w:sz w:val="24"/>
        </w:rPr>
        <w:t>询价一览表</w:t>
      </w:r>
      <w:r>
        <w:rPr>
          <w:rFonts w:hint="eastAsia" w:ascii="宋体" w:hAnsi="宋体" w:cs="Arial Unicode MS"/>
          <w:color w:val="auto"/>
          <w:kern w:val="0"/>
          <w:sz w:val="24"/>
        </w:rPr>
        <w:t>”的要求，须在报价文件中详细说明所提供服务的技术规格和参数。上述技术规格及要求中所发生的一切费用均包含在报价价格中，不接受可选性报价（如详细配置有“可选购、大于、小于、优于”等描述都将视为无效报价）。</w:t>
      </w:r>
    </w:p>
    <w:p>
      <w:pPr>
        <w:spacing w:line="500" w:lineRule="exact"/>
        <w:ind w:firstLine="480" w:firstLineChars="200"/>
        <w:rPr>
          <w:rFonts w:ascii="宋体" w:hAnsi="宋体" w:cs="Arial Unicode MS"/>
          <w:color w:val="auto"/>
          <w:kern w:val="0"/>
          <w:sz w:val="24"/>
        </w:rPr>
      </w:pPr>
      <w:r>
        <w:rPr>
          <w:rFonts w:hint="eastAsia" w:ascii="宋体" w:hAnsi="宋体" w:cs="Arial Unicode MS"/>
          <w:color w:val="auto"/>
          <w:kern w:val="0"/>
          <w:sz w:val="24"/>
        </w:rPr>
        <w:t>3、报价人应遵守相关法规，若报价人违反规定，依照违规情节将其列入违规供应商名单，停止其一个月以上、三年以内的报价资格。</w:t>
      </w:r>
    </w:p>
    <w:p>
      <w:pPr>
        <w:spacing w:line="500" w:lineRule="exact"/>
        <w:ind w:firstLine="480" w:firstLineChars="200"/>
        <w:rPr>
          <w:rFonts w:ascii="宋体" w:hAnsi="宋体" w:cs="Arial Unicode MS"/>
          <w:color w:val="auto"/>
          <w:kern w:val="0"/>
          <w:sz w:val="24"/>
        </w:rPr>
      </w:pPr>
      <w:r>
        <w:rPr>
          <w:rFonts w:hint="eastAsia" w:ascii="宋体" w:hAnsi="宋体" w:cs="Arial Unicode MS"/>
          <w:color w:val="auto"/>
          <w:kern w:val="0"/>
          <w:sz w:val="24"/>
        </w:rPr>
        <w:t>4、无论报价过程中的做法和结果如何，报价人自行承担所有参与报价的全部有关费用。</w:t>
      </w:r>
    </w:p>
    <w:p>
      <w:pPr>
        <w:spacing w:line="500" w:lineRule="exact"/>
        <w:rPr>
          <w:rFonts w:ascii="宋体" w:hAnsi="宋体" w:cs="宋体"/>
          <w:color w:val="auto"/>
          <w:sz w:val="24"/>
        </w:rPr>
      </w:pPr>
      <w:r>
        <w:rPr>
          <w:rFonts w:hint="eastAsia" w:ascii="宋体" w:hAnsi="宋体" w:cs="宋体"/>
          <w:color w:val="auto"/>
          <w:sz w:val="24"/>
        </w:rPr>
        <w:t>三、 评审办法、时间及地点</w:t>
      </w:r>
    </w:p>
    <w:p>
      <w:pPr>
        <w:spacing w:line="500" w:lineRule="exact"/>
        <w:ind w:firstLine="480" w:firstLineChars="200"/>
        <w:rPr>
          <w:rFonts w:ascii="宋体" w:hAnsi="宋体" w:cs="宋体"/>
          <w:color w:val="auto"/>
          <w:sz w:val="24"/>
        </w:rPr>
      </w:pPr>
      <w:r>
        <w:rPr>
          <w:rFonts w:hint="eastAsia" w:ascii="宋体" w:hAnsi="宋体" w:cs="宋体"/>
          <w:color w:val="auto"/>
          <w:sz w:val="24"/>
        </w:rPr>
        <w:t>1、评审办法：符合条件的</w:t>
      </w:r>
      <w:r>
        <w:rPr>
          <w:rFonts w:hint="eastAsia" w:ascii="宋体" w:hAnsi="宋体" w:cs="宋体"/>
          <w:color w:val="auto"/>
          <w:sz w:val="24"/>
        </w:rPr>
        <w:t>供应商</w:t>
      </w:r>
      <w:r>
        <w:rPr>
          <w:rFonts w:hint="eastAsia" w:ascii="宋体" w:hAnsi="宋体" w:cs="宋体"/>
          <w:color w:val="auto"/>
          <w:kern w:val="0"/>
          <w:sz w:val="24"/>
        </w:rPr>
        <w:t>最终报价总价（暂定总额）</w:t>
      </w:r>
      <w:r>
        <w:rPr>
          <w:rFonts w:hint="eastAsia" w:ascii="宋体" w:hAnsi="宋体" w:cs="宋体"/>
          <w:color w:val="auto"/>
          <w:sz w:val="24"/>
        </w:rPr>
        <w:t>最低价成交</w:t>
      </w:r>
      <w:r>
        <w:rPr>
          <w:rFonts w:hint="eastAsia" w:ascii="宋体" w:hAnsi="宋体" w:cs="宋体"/>
          <w:color w:val="auto"/>
          <w:sz w:val="24"/>
        </w:rPr>
        <w:t>。</w:t>
      </w:r>
    </w:p>
    <w:p>
      <w:pPr>
        <w:spacing w:line="500" w:lineRule="exact"/>
        <w:ind w:firstLine="480" w:firstLineChars="200"/>
        <w:rPr>
          <w:rFonts w:ascii="宋体" w:hAnsi="宋体" w:cs="宋体"/>
          <w:color w:val="auto"/>
          <w:sz w:val="24"/>
        </w:rPr>
      </w:pPr>
      <w:r>
        <w:rPr>
          <w:rFonts w:hint="eastAsia" w:ascii="宋体" w:hAnsi="宋体" w:cs="宋体"/>
          <w:color w:val="auto"/>
          <w:sz w:val="24"/>
        </w:rPr>
        <w:t>2、评审时间及地点：自询价函</w:t>
      </w:r>
      <w:r>
        <w:rPr>
          <w:rFonts w:hint="eastAsia" w:ascii="宋体" w:hAnsi="宋体" w:cs="Arial Unicode MS"/>
          <w:color w:val="auto"/>
          <w:kern w:val="0"/>
          <w:sz w:val="24"/>
        </w:rPr>
        <w:t>挂网</w:t>
      </w:r>
      <w:r>
        <w:rPr>
          <w:rFonts w:hint="eastAsia" w:ascii="宋体" w:hAnsi="宋体" w:cs="宋体"/>
          <w:color w:val="auto"/>
          <w:sz w:val="24"/>
        </w:rPr>
        <w:t>之日起第七个工作日，位于福州市滨海水务发展有限公司确定成交供应商。</w:t>
      </w:r>
    </w:p>
    <w:p>
      <w:pPr>
        <w:spacing w:line="500" w:lineRule="exact"/>
        <w:rPr>
          <w:rFonts w:ascii="宋体" w:hAnsi="宋体" w:cs="宋体"/>
          <w:color w:val="auto"/>
          <w:sz w:val="24"/>
        </w:rPr>
      </w:pPr>
      <w:r>
        <w:rPr>
          <w:rFonts w:hint="eastAsia" w:ascii="宋体" w:hAnsi="宋体" w:cs="宋体"/>
          <w:color w:val="auto"/>
          <w:sz w:val="24"/>
        </w:rPr>
        <w:t>四、签订合同</w:t>
      </w:r>
    </w:p>
    <w:p>
      <w:pPr>
        <w:spacing w:line="500" w:lineRule="exact"/>
        <w:ind w:firstLine="480" w:firstLineChars="200"/>
        <w:rPr>
          <w:rFonts w:ascii="宋体" w:hAnsi="宋体" w:cs="宋体"/>
          <w:color w:val="auto"/>
          <w:sz w:val="24"/>
        </w:rPr>
      </w:pPr>
      <w:r>
        <w:rPr>
          <w:rFonts w:hint="eastAsia" w:ascii="宋体" w:hAnsi="宋体" w:cs="宋体"/>
          <w:color w:val="auto"/>
          <w:sz w:val="24"/>
        </w:rPr>
        <w:t>在通知成交后，根据采购人要求在规定时间内签订合同。</w:t>
      </w:r>
    </w:p>
    <w:p>
      <w:pPr>
        <w:spacing w:line="500" w:lineRule="exact"/>
        <w:rPr>
          <w:rFonts w:ascii="宋体" w:hAnsi="宋体" w:cs="宋体"/>
          <w:color w:val="auto"/>
          <w:sz w:val="24"/>
        </w:rPr>
      </w:pPr>
      <w:r>
        <w:rPr>
          <w:rFonts w:hint="eastAsia" w:ascii="宋体" w:hAnsi="宋体" w:cs="宋体"/>
          <w:color w:val="auto"/>
          <w:sz w:val="24"/>
        </w:rPr>
        <w:t>五、询价结果确认</w:t>
      </w:r>
    </w:p>
    <w:p>
      <w:pPr>
        <w:spacing w:line="500" w:lineRule="exact"/>
        <w:ind w:firstLine="480" w:firstLineChars="200"/>
        <w:rPr>
          <w:rFonts w:ascii="宋体" w:hAnsi="宋体" w:cs="宋体"/>
          <w:color w:val="auto"/>
          <w:sz w:val="24"/>
        </w:rPr>
      </w:pPr>
      <w:r>
        <w:rPr>
          <w:rFonts w:hint="eastAsia" w:ascii="宋体" w:hAnsi="宋体" w:cs="宋体"/>
          <w:color w:val="auto"/>
          <w:sz w:val="24"/>
        </w:rPr>
        <w:t>确定成交供应商后五个工作日内，成交结果将以电话形式告知成交供应商。</w:t>
      </w:r>
    </w:p>
    <w:p>
      <w:pPr>
        <w:spacing w:line="500" w:lineRule="exact"/>
        <w:ind w:left="479" w:leftChars="228"/>
        <w:rPr>
          <w:rFonts w:ascii="宋体" w:hAnsi="宋体" w:cs="Arial Unicode MS"/>
          <w:color w:val="auto"/>
          <w:kern w:val="0"/>
          <w:sz w:val="24"/>
        </w:rPr>
      </w:pPr>
      <w:r>
        <w:rPr>
          <w:rFonts w:hint="eastAsia" w:ascii="宋体" w:hAnsi="宋体" w:cs="宋体"/>
          <w:color w:val="auto"/>
          <w:sz w:val="24"/>
        </w:rPr>
        <w:t>附件1：福州新区管委会（新城指挥部）会议纪要（〔2021〕</w:t>
      </w:r>
      <w:r>
        <w:rPr>
          <w:rFonts w:ascii="宋体" w:hAnsi="宋体" w:cs="宋体"/>
          <w:color w:val="auto"/>
          <w:sz w:val="24"/>
        </w:rPr>
        <w:t>36</w:t>
      </w:r>
      <w:r>
        <w:rPr>
          <w:rFonts w:hint="eastAsia" w:ascii="宋体" w:hAnsi="宋体" w:cs="宋体"/>
          <w:color w:val="auto"/>
          <w:sz w:val="24"/>
        </w:rPr>
        <w:t>号）</w:t>
      </w:r>
    </w:p>
    <w:p>
      <w:pPr>
        <w:spacing w:line="500" w:lineRule="exact"/>
        <w:ind w:left="479" w:leftChars="228"/>
        <w:rPr>
          <w:rFonts w:ascii="宋体" w:hAnsi="宋体" w:cs="宋体"/>
          <w:color w:val="auto"/>
          <w:sz w:val="24"/>
        </w:rPr>
      </w:pPr>
      <w:r>
        <w:rPr>
          <w:rFonts w:hint="eastAsia" w:ascii="宋体" w:hAnsi="宋体" w:cs="宋体"/>
          <w:color w:val="auto"/>
          <w:sz w:val="24"/>
        </w:rPr>
        <w:t>附件2：福州滨海新城三大运营商及省电云计算IDC供水工程管线可研报告、路由</w:t>
      </w:r>
      <w:r>
        <w:rPr>
          <w:rFonts w:hint="eastAsia" w:ascii="宋体" w:hAnsi="宋体" w:cs="宋体"/>
          <w:color w:val="auto"/>
          <w:sz w:val="24"/>
        </w:rPr>
        <w:t>图</w:t>
      </w:r>
    </w:p>
    <w:p>
      <w:pPr>
        <w:spacing w:line="500" w:lineRule="exact"/>
        <w:rPr>
          <w:rFonts w:ascii="宋体" w:hAnsi="宋体" w:cs="Arial Unicode MS"/>
          <w:color w:val="auto"/>
          <w:kern w:val="0"/>
          <w:sz w:val="24"/>
        </w:rPr>
      </w:pPr>
    </w:p>
    <w:p>
      <w:pPr>
        <w:spacing w:line="500" w:lineRule="exact"/>
        <w:rPr>
          <w:rFonts w:ascii="宋体" w:hAnsi="宋体" w:cs="Arial Unicode MS"/>
          <w:color w:val="auto"/>
          <w:kern w:val="0"/>
          <w:sz w:val="24"/>
        </w:rPr>
      </w:pPr>
    </w:p>
    <w:p>
      <w:pPr>
        <w:spacing w:line="500" w:lineRule="exact"/>
        <w:jc w:val="right"/>
        <w:rPr>
          <w:rFonts w:ascii="宋体" w:hAnsi="宋体" w:cs="Arial Unicode MS"/>
          <w:color w:val="auto"/>
          <w:kern w:val="0"/>
          <w:sz w:val="24"/>
        </w:rPr>
      </w:pPr>
      <w:r>
        <w:rPr>
          <w:rFonts w:hint="eastAsia" w:ascii="宋体" w:hAnsi="宋体" w:cs="Arial Unicode MS"/>
          <w:color w:val="auto"/>
          <w:kern w:val="0"/>
          <w:sz w:val="24"/>
        </w:rPr>
        <w:t xml:space="preserve">福州市滨海水务发展有限公司    </w:t>
      </w:r>
    </w:p>
    <w:p>
      <w:pPr>
        <w:rPr>
          <w:rFonts w:ascii="宋体" w:hAnsi="宋体" w:cs="Arial Unicode MS"/>
          <w:color w:val="auto"/>
          <w:kern w:val="0"/>
          <w:sz w:val="24"/>
        </w:rPr>
      </w:pPr>
      <w:r>
        <w:rPr>
          <w:rFonts w:hint="eastAsia" w:ascii="宋体" w:hAnsi="宋体" w:cs="Arial Unicode MS"/>
          <w:color w:val="auto"/>
          <w:kern w:val="0"/>
          <w:sz w:val="24"/>
        </w:rPr>
        <w:t xml:space="preserve">                                                 2021年</w:t>
      </w:r>
      <w:r>
        <w:rPr>
          <w:rFonts w:ascii="宋体" w:hAnsi="宋体" w:cs="Arial Unicode MS"/>
          <w:color w:val="auto"/>
          <w:kern w:val="0"/>
          <w:sz w:val="24"/>
        </w:rPr>
        <w:t>10</w:t>
      </w:r>
      <w:r>
        <w:rPr>
          <w:rFonts w:hint="eastAsia" w:ascii="宋体" w:hAnsi="宋体" w:cs="Arial Unicode MS"/>
          <w:color w:val="auto"/>
          <w:kern w:val="0"/>
          <w:sz w:val="24"/>
        </w:rPr>
        <w:t>月</w:t>
      </w:r>
      <w:r>
        <w:rPr>
          <w:rFonts w:hint="eastAsia" w:ascii="宋体" w:hAnsi="宋体" w:cs="Arial Unicode MS"/>
          <w:color w:val="auto"/>
          <w:kern w:val="0"/>
          <w:sz w:val="24"/>
          <w:lang w:val="en-US" w:eastAsia="zh-CN"/>
        </w:rPr>
        <w:t>22</w:t>
      </w:r>
      <w:r>
        <w:rPr>
          <w:rFonts w:hint="eastAsia" w:ascii="宋体" w:hAnsi="宋体" w:cs="Arial Unicode MS"/>
          <w:color w:val="auto"/>
          <w:kern w:val="0"/>
          <w:sz w:val="24"/>
        </w:rPr>
        <w:t xml:space="preserve"> 日</w:t>
      </w:r>
    </w:p>
    <w:p>
      <w:pPr>
        <w:rPr>
          <w:rFonts w:ascii="宋体" w:hAnsi="宋体" w:cs="Arial Unicode MS"/>
          <w:color w:val="auto"/>
          <w:kern w:val="0"/>
          <w:sz w:val="24"/>
        </w:rPr>
      </w:pPr>
    </w:p>
    <w:p>
      <w:pPr>
        <w:rPr>
          <w:rFonts w:ascii="宋体" w:hAnsi="宋体" w:cs="Arial Unicode MS"/>
          <w:color w:val="auto"/>
          <w:kern w:val="0"/>
          <w:sz w:val="24"/>
        </w:rPr>
      </w:pPr>
    </w:p>
    <w:p>
      <w:pPr>
        <w:widowControl/>
        <w:spacing w:before="90"/>
        <w:ind w:firstLine="960" w:firstLineChars="400"/>
        <w:jc w:val="left"/>
        <w:rPr>
          <w:rFonts w:ascii="宋体" w:hAnsi="宋体" w:cs="Arial Unicode MS"/>
          <w:color w:val="auto"/>
          <w:kern w:val="0"/>
          <w:sz w:val="24"/>
        </w:rPr>
      </w:pPr>
    </w:p>
    <w:p>
      <w:pPr>
        <w:rPr>
          <w:rFonts w:ascii="宋体" w:hAnsi="宋体" w:cs="Arial Unicode MS"/>
          <w:color w:val="auto"/>
          <w:kern w:val="0"/>
          <w:sz w:val="24"/>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7wAWNEAAAACAQAADwAAAAAA&#10;AAABACAAAAAiAAAAZHJzL2Rvd25yZXYueG1sUEsBAhQAFAAAAAgAh07iQBBaYX4aAgAAEgQAAA4A&#10;AAAAAAAAAQAgAAAAIAEAAGRycy9lMm9Eb2MueG1sUEsFBgAAAAAGAAYAWQEAAKwFA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C0387A"/>
    <w:multiLevelType w:val="singleLevel"/>
    <w:tmpl w:val="DFC0387A"/>
    <w:lvl w:ilvl="0" w:tentative="0">
      <w:start w:val="5"/>
      <w:numFmt w:val="decimal"/>
      <w:suff w:val="nothing"/>
      <w:lvlText w:val="%1、"/>
      <w:lvlJc w:val="left"/>
    </w:lvl>
  </w:abstractNum>
  <w:abstractNum w:abstractNumId="1">
    <w:nsid w:val="6915CA66"/>
    <w:multiLevelType w:val="singleLevel"/>
    <w:tmpl w:val="6915CA66"/>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66B"/>
    <w:rsid w:val="001B2591"/>
    <w:rsid w:val="003B3152"/>
    <w:rsid w:val="00454C33"/>
    <w:rsid w:val="00615824"/>
    <w:rsid w:val="00636E8E"/>
    <w:rsid w:val="006D3EEE"/>
    <w:rsid w:val="0072766B"/>
    <w:rsid w:val="00770566"/>
    <w:rsid w:val="007A4D30"/>
    <w:rsid w:val="00894BD5"/>
    <w:rsid w:val="00922D41"/>
    <w:rsid w:val="00C20F73"/>
    <w:rsid w:val="00C9336B"/>
    <w:rsid w:val="00D53162"/>
    <w:rsid w:val="00EE3D6C"/>
    <w:rsid w:val="00F71BFD"/>
    <w:rsid w:val="05210B4F"/>
    <w:rsid w:val="0B6808A3"/>
    <w:rsid w:val="13177573"/>
    <w:rsid w:val="152A6606"/>
    <w:rsid w:val="16765CA1"/>
    <w:rsid w:val="17763401"/>
    <w:rsid w:val="1FDF4CB9"/>
    <w:rsid w:val="24E21706"/>
    <w:rsid w:val="25AE7FDC"/>
    <w:rsid w:val="3EFD5E42"/>
    <w:rsid w:val="409C2493"/>
    <w:rsid w:val="413F37E8"/>
    <w:rsid w:val="44442F3F"/>
    <w:rsid w:val="4C285837"/>
    <w:rsid w:val="53C936AB"/>
    <w:rsid w:val="55324190"/>
    <w:rsid w:val="5BFE60D5"/>
    <w:rsid w:val="5DB933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Date"/>
    <w:basedOn w:val="1"/>
    <w:next w:val="1"/>
    <w:link w:val="12"/>
    <w:unhideWhenUsed/>
    <w:qFormat/>
    <w:uiPriority w:val="99"/>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列出段落1"/>
    <w:basedOn w:val="1"/>
    <w:qFormat/>
    <w:uiPriority w:val="34"/>
    <w:pPr>
      <w:ind w:firstLine="420" w:firstLineChars="200"/>
    </w:pPr>
    <w:rPr>
      <w:rFonts w:ascii="Calibri" w:hAnsi="Calibri"/>
      <w:szCs w:val="22"/>
    </w:rPr>
  </w:style>
  <w:style w:type="paragraph" w:customStyle="1" w:styleId="10">
    <w:name w:val="列出段落2"/>
    <w:basedOn w:val="1"/>
    <w:qFormat/>
    <w:uiPriority w:val="34"/>
    <w:pPr>
      <w:ind w:firstLine="420" w:firstLineChars="200"/>
    </w:pPr>
    <w:rPr>
      <w:rFonts w:ascii="Calibri" w:hAnsi="Calibri"/>
      <w:szCs w:val="22"/>
    </w:rPr>
  </w:style>
  <w:style w:type="character" w:customStyle="1" w:styleId="11">
    <w:name w:val="font01"/>
    <w:basedOn w:val="8"/>
    <w:qFormat/>
    <w:uiPriority w:val="0"/>
    <w:rPr>
      <w:rFonts w:ascii="Calibri" w:hAnsi="Calibri" w:cs="Calibri"/>
      <w:color w:val="000000"/>
      <w:sz w:val="22"/>
      <w:szCs w:val="22"/>
      <w:u w:val="none"/>
    </w:rPr>
  </w:style>
  <w:style w:type="character" w:customStyle="1" w:styleId="12">
    <w:name w:val="日期 Char"/>
    <w:basedOn w:val="8"/>
    <w:link w:val="3"/>
    <w:semiHidden/>
    <w:qFormat/>
    <w:uiPriority w:val="99"/>
    <w:rPr>
      <w:rFonts w:ascii="Times New Roman" w:hAnsi="Times New Roman"/>
      <w:kern w:val="2"/>
      <w:sz w:val="21"/>
      <w:szCs w:val="24"/>
    </w:rPr>
  </w:style>
  <w:style w:type="character" w:customStyle="1" w:styleId="13">
    <w:name w:val="font11"/>
    <w:basedOn w:val="8"/>
    <w:qFormat/>
    <w:uiPriority w:val="0"/>
    <w:rPr>
      <w:rFonts w:hint="eastAsia" w:ascii="宋体" w:hAnsi="宋体" w:eastAsia="宋体" w:cs="宋体"/>
      <w:color w:val="000000"/>
      <w:sz w:val="22"/>
      <w:szCs w:val="22"/>
      <w:u w:val="none"/>
    </w:rPr>
  </w:style>
  <w:style w:type="character" w:customStyle="1" w:styleId="14">
    <w:name w:val="font21"/>
    <w:basedOn w:val="8"/>
    <w:qFormat/>
    <w:uiPriority w:val="0"/>
    <w:rPr>
      <w:rFonts w:hint="eastAsia" w:ascii="宋体" w:hAnsi="宋体" w:eastAsia="宋体" w:cs="宋体"/>
      <w:color w:val="000000"/>
      <w:sz w:val="28"/>
      <w:szCs w:val="28"/>
      <w:u w:val="none"/>
    </w:rPr>
  </w:style>
  <w:style w:type="character" w:customStyle="1" w:styleId="15">
    <w:name w:val="页眉 Char"/>
    <w:basedOn w:val="8"/>
    <w:link w:val="6"/>
    <w:semiHidden/>
    <w:qFormat/>
    <w:uiPriority w:val="99"/>
    <w:rPr>
      <w:rFonts w:ascii="Times New Roman" w:hAnsi="Times New Roman" w:eastAsia="宋体" w:cs="Times New Roman"/>
      <w:sz w:val="18"/>
      <w:szCs w:val="18"/>
    </w:rPr>
  </w:style>
  <w:style w:type="character" w:customStyle="1" w:styleId="16">
    <w:name w:val="页脚 Char"/>
    <w:basedOn w:val="8"/>
    <w:link w:val="5"/>
    <w:semiHidden/>
    <w:qFormat/>
    <w:uiPriority w:val="99"/>
    <w:rPr>
      <w:rFonts w:ascii="Times New Roman" w:hAnsi="Times New Roman" w:eastAsia="宋体" w:cs="Times New Roman"/>
      <w:sz w:val="18"/>
      <w:szCs w:val="18"/>
    </w:rPr>
  </w:style>
  <w:style w:type="character" w:customStyle="1" w:styleId="17">
    <w:name w:val="批注框文本 Char"/>
    <w:basedOn w:val="8"/>
    <w:link w:val="4"/>
    <w:semiHidden/>
    <w:qFormat/>
    <w:uiPriority w:val="99"/>
    <w:rPr>
      <w:rFonts w:eastAsia="宋体"/>
      <w:kern w:val="2"/>
      <w:sz w:val="18"/>
      <w:szCs w:val="18"/>
    </w:rPr>
  </w:style>
  <w:style w:type="paragraph" w:customStyle="1" w:styleId="18">
    <w:name w:val="Body text|1"/>
    <w:basedOn w:val="1"/>
    <w:qFormat/>
    <w:uiPriority w:val="0"/>
    <w:pPr>
      <w:spacing w:line="456" w:lineRule="auto"/>
    </w:pPr>
    <w:rPr>
      <w:rFonts w:ascii="宋体" w:hAnsi="宋体" w:cs="宋体"/>
      <w:sz w:val="20"/>
      <w:szCs w:val="2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271</Words>
  <Characters>1547</Characters>
  <Lines>12</Lines>
  <Paragraphs>3</Paragraphs>
  <TotalTime>34</TotalTime>
  <ScaleCrop>false</ScaleCrop>
  <LinksUpToDate>false</LinksUpToDate>
  <CharactersWithSpaces>1815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2021-09-27T06:57:00Z</dcterms:created>
  <dc:creator>胡志雨</dc:creator>
  <cp:lastModifiedBy>管理员</cp:lastModifiedBy>
  <cp:lastPrinted>2021-07-15T05:31:00Z</cp:lastPrinted>
  <dcterms:modified xsi:type="dcterms:W3CDTF">2021-10-22T06:26:43Z</dcterms:modified>
  <dc:title>福州市滨海水务发展有限公司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46F846459ECE4F26B099EDC35378F300</vt:lpwstr>
  </property>
</Properties>
</file>