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rPr>
      </w:pPr>
      <w:r>
        <w:rPr>
          <w:rFonts w:hint="eastAsia" w:ascii="宋体" w:hAnsi="宋体"/>
          <w:b/>
          <w:color w:val="auto"/>
          <w:sz w:val="32"/>
          <w:szCs w:val="32"/>
        </w:rPr>
        <w:t>福州市滨海水务发展有限公司</w:t>
      </w:r>
    </w:p>
    <w:p>
      <w:pPr>
        <w:jc w:val="center"/>
        <w:rPr>
          <w:rFonts w:ascii="宋体" w:hAnsi="宋体"/>
          <w:b/>
          <w:color w:val="auto"/>
          <w:sz w:val="32"/>
          <w:szCs w:val="32"/>
        </w:rPr>
      </w:pPr>
      <w:r>
        <w:rPr>
          <w:rFonts w:hint="eastAsia" w:ascii="宋体" w:hAnsi="宋体"/>
          <w:b/>
          <w:color w:val="auto"/>
          <w:sz w:val="32"/>
          <w:szCs w:val="32"/>
        </w:rPr>
        <w:t>关于</w:t>
      </w:r>
      <w:r>
        <w:rPr>
          <w:rFonts w:ascii="宋体" w:hAnsi="宋体"/>
          <w:b/>
          <w:color w:val="auto"/>
          <w:sz w:val="32"/>
          <w:szCs w:val="32"/>
        </w:rPr>
        <w:t>涉路施工安全技术评价报告</w:t>
      </w:r>
      <w:r>
        <w:rPr>
          <w:rFonts w:hint="eastAsia" w:ascii="宋体" w:hAnsi="宋体"/>
          <w:b/>
          <w:color w:val="auto"/>
          <w:sz w:val="32"/>
          <w:szCs w:val="32"/>
        </w:rPr>
        <w:t>采购询价公告</w:t>
      </w:r>
    </w:p>
    <w:p>
      <w:pPr>
        <w:pStyle w:val="18"/>
        <w:spacing w:line="430" w:lineRule="exact"/>
        <w:ind w:firstLine="420"/>
        <w:rPr>
          <w:rFonts w:cs="Arial Unicode MS"/>
          <w:color w:val="auto"/>
          <w:kern w:val="0"/>
          <w:sz w:val="24"/>
        </w:rPr>
      </w:pPr>
      <w:r>
        <w:rPr>
          <w:rFonts w:hint="eastAsia"/>
          <w:color w:val="auto"/>
          <w:sz w:val="24"/>
          <w:szCs w:val="24"/>
        </w:rPr>
        <w:t>福州市滨海水务发展有限公司釆用挂网询价釆购方式组织实施本次服务的釆购，现邀请合格的供应商参与报价。</w:t>
      </w:r>
    </w:p>
    <w:p>
      <w:pPr>
        <w:widowControl/>
        <w:snapToGrid w:val="0"/>
        <w:spacing w:line="500" w:lineRule="exact"/>
        <w:ind w:firstLine="120" w:firstLineChars="50"/>
        <w:jc w:val="left"/>
        <w:rPr>
          <w:rFonts w:ascii="宋体" w:hAnsi="宋体" w:cs="Arial Unicode MS"/>
          <w:color w:val="auto"/>
          <w:kern w:val="0"/>
          <w:sz w:val="24"/>
        </w:rPr>
      </w:pPr>
      <w:r>
        <w:rPr>
          <w:rFonts w:hint="eastAsia" w:ascii="宋体" w:hAnsi="宋体" w:cs="Arial Unicode MS"/>
          <w:color w:val="auto"/>
          <w:kern w:val="0"/>
          <w:sz w:val="24"/>
        </w:rPr>
        <w:t>一、询价邀请</w:t>
      </w:r>
    </w:p>
    <w:p>
      <w:pPr>
        <w:widowControl/>
        <w:snapToGrid w:val="0"/>
        <w:spacing w:line="500" w:lineRule="exact"/>
        <w:ind w:firstLine="120" w:firstLineChars="50"/>
        <w:jc w:val="left"/>
        <w:rPr>
          <w:rFonts w:ascii="宋体" w:hAnsi="宋体"/>
          <w:color w:val="auto"/>
          <w:sz w:val="24"/>
        </w:rPr>
      </w:pPr>
      <w:r>
        <w:rPr>
          <w:rFonts w:hint="eastAsia" w:ascii="宋体" w:hAnsi="宋体" w:cs="Arial Unicode MS"/>
          <w:color w:val="auto"/>
          <w:kern w:val="0"/>
          <w:sz w:val="24"/>
        </w:rPr>
        <w:t>1</w:t>
      </w:r>
      <w:r>
        <w:rPr>
          <w:rFonts w:hint="eastAsia" w:ascii="宋体" w:hAnsi="宋体" w:cs="Arial Unicode MS"/>
          <w:color w:val="auto"/>
          <w:kern w:val="0"/>
          <w:sz w:val="24"/>
        </w:rPr>
        <w:t>、项目编号：</w:t>
      </w:r>
    </w:p>
    <w:p>
      <w:pPr>
        <w:spacing w:before="54"/>
        <w:ind w:right="173" w:firstLine="120" w:firstLineChars="50"/>
        <w:jc w:val="left"/>
        <w:rPr>
          <w:b/>
          <w:color w:val="auto"/>
          <w:sz w:val="28"/>
          <w:szCs w:val="28"/>
        </w:rPr>
      </w:pPr>
      <w:r>
        <w:rPr>
          <w:rFonts w:hint="eastAsia" w:ascii="宋体" w:hAnsi="宋体" w:cs="Arial Unicode MS"/>
          <w:color w:val="auto"/>
          <w:kern w:val="0"/>
          <w:sz w:val="24"/>
        </w:rPr>
        <w:t>2、询价采购服务名称详见“</w:t>
      </w:r>
      <w:r>
        <w:rPr>
          <w:rFonts w:hint="eastAsia" w:ascii="宋体" w:hAnsi="宋体" w:cs="Arial Unicode MS"/>
          <w:color w:val="auto"/>
          <w:kern w:val="0"/>
          <w:sz w:val="24"/>
        </w:rPr>
        <w:t>询价一览表</w:t>
      </w:r>
      <w:r>
        <w:rPr>
          <w:rFonts w:hint="eastAsia" w:ascii="宋体" w:hAnsi="宋体" w:cs="Arial Unicode MS"/>
          <w:color w:val="auto"/>
          <w:kern w:val="0"/>
          <w:sz w:val="24"/>
        </w:rPr>
        <w:t>”，</w:t>
      </w:r>
      <w:r>
        <w:rPr>
          <w:rFonts w:hint="eastAsia" w:ascii="宋体" w:hAnsi="宋体" w:cs="Arial Unicode MS"/>
          <w:color w:val="auto"/>
          <w:kern w:val="0"/>
          <w:sz w:val="24"/>
        </w:rPr>
        <w:t>具体参数和技术要求详见附件。</w:t>
      </w:r>
    </w:p>
    <w:p>
      <w:pPr>
        <w:spacing w:before="54"/>
        <w:ind w:left="161" w:right="173"/>
        <w:jc w:val="center"/>
        <w:rPr>
          <w:b/>
          <w:color w:val="auto"/>
          <w:sz w:val="28"/>
          <w:szCs w:val="28"/>
        </w:rPr>
      </w:pPr>
      <w:r>
        <w:rPr>
          <w:rFonts w:hint="eastAsia"/>
          <w:b/>
          <w:color w:val="auto"/>
          <w:sz w:val="28"/>
          <w:szCs w:val="28"/>
        </w:rPr>
        <w:t>询</w:t>
      </w:r>
      <w:r>
        <w:rPr>
          <w:b/>
          <w:color w:val="auto"/>
          <w:sz w:val="28"/>
          <w:szCs w:val="28"/>
        </w:rPr>
        <w:t>价一览表</w:t>
      </w:r>
    </w:p>
    <w:tbl>
      <w:tblPr>
        <w:tblStyle w:val="7"/>
        <w:tblW w:w="9420" w:type="dxa"/>
        <w:jc w:val="center"/>
        <w:tblLayout w:type="fixed"/>
        <w:tblCellMar>
          <w:top w:w="0" w:type="dxa"/>
          <w:left w:w="0" w:type="dxa"/>
          <w:bottom w:w="0" w:type="dxa"/>
          <w:right w:w="0" w:type="dxa"/>
        </w:tblCellMar>
      </w:tblPr>
      <w:tblGrid>
        <w:gridCol w:w="695"/>
        <w:gridCol w:w="1393"/>
        <w:gridCol w:w="3584"/>
        <w:gridCol w:w="1333"/>
        <w:gridCol w:w="800"/>
        <w:gridCol w:w="967"/>
        <w:gridCol w:w="648"/>
      </w:tblGrid>
      <w:tr>
        <w:tblPrEx>
          <w:tblCellMar>
            <w:top w:w="0" w:type="dxa"/>
            <w:left w:w="0" w:type="dxa"/>
            <w:bottom w:w="0" w:type="dxa"/>
            <w:right w:w="0" w:type="dxa"/>
          </w:tblCellMar>
        </w:tblPrEx>
        <w:trPr>
          <w:trHeight w:val="540"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序号</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询价项目</w:t>
            </w: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sz w:val="24"/>
              </w:rPr>
              <w:t>服务内容</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最高控制价</w:t>
            </w:r>
          </w:p>
          <w:p>
            <w:pPr>
              <w:widowControl/>
              <w:jc w:val="center"/>
              <w:textAlignment w:val="center"/>
              <w:rPr>
                <w:rFonts w:ascii="宋体" w:hAnsi="宋体" w:cs="宋体"/>
                <w:color w:val="auto"/>
                <w:kern w:val="0"/>
                <w:sz w:val="24"/>
              </w:rPr>
            </w:pPr>
            <w:r>
              <w:rPr>
                <w:rFonts w:hint="eastAsia" w:ascii="宋体" w:hAnsi="宋体" w:cs="宋体"/>
                <w:color w:val="auto"/>
                <w:kern w:val="0"/>
                <w:sz w:val="24"/>
              </w:rPr>
              <w:t>（万元）</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折扣</w:t>
            </w:r>
          </w:p>
          <w:p>
            <w:pPr>
              <w:widowControl/>
              <w:jc w:val="center"/>
              <w:textAlignment w:val="center"/>
              <w:rPr>
                <w:rFonts w:ascii="宋体" w:hAnsi="宋体" w:cs="宋体"/>
                <w:color w:val="auto"/>
                <w:kern w:val="0"/>
                <w:sz w:val="24"/>
              </w:rPr>
            </w:pPr>
            <w:r>
              <w:rPr>
                <w:rFonts w:hint="eastAsia" w:ascii="宋体" w:hAnsi="宋体" w:cs="宋体"/>
                <w:color w:val="auto"/>
                <w:kern w:val="0"/>
                <w:sz w:val="24"/>
              </w:rPr>
              <w:t>系数</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报价</w:t>
            </w:r>
          </w:p>
          <w:p>
            <w:pPr>
              <w:widowControl/>
              <w:jc w:val="center"/>
              <w:textAlignment w:val="center"/>
              <w:rPr>
                <w:rFonts w:ascii="宋体" w:hAnsi="宋体" w:cs="宋体"/>
                <w:color w:val="auto"/>
                <w:kern w:val="0"/>
                <w:sz w:val="24"/>
              </w:rPr>
            </w:pPr>
            <w:r>
              <w:rPr>
                <w:rFonts w:hint="eastAsia" w:ascii="宋体" w:hAnsi="宋体" w:cs="宋体"/>
                <w:color w:val="auto"/>
                <w:kern w:val="0"/>
                <w:sz w:val="24"/>
              </w:rPr>
              <w:t>总价</w:t>
            </w:r>
          </w:p>
          <w:p>
            <w:pPr>
              <w:widowControl/>
              <w:jc w:val="center"/>
              <w:textAlignment w:val="center"/>
              <w:rPr>
                <w:rFonts w:ascii="宋体" w:hAnsi="宋体" w:cs="宋体"/>
                <w:color w:val="auto"/>
                <w:kern w:val="0"/>
                <w:sz w:val="24"/>
              </w:rPr>
            </w:pPr>
            <w:r>
              <w:rPr>
                <w:rFonts w:hint="eastAsia" w:ascii="宋体" w:hAnsi="宋体" w:cs="宋体"/>
                <w:color w:val="auto"/>
                <w:kern w:val="0"/>
                <w:sz w:val="24"/>
              </w:rPr>
              <w:t>（万元）</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备注</w:t>
            </w:r>
          </w:p>
        </w:tc>
      </w:tr>
      <w:tr>
        <w:tblPrEx>
          <w:tblCellMar>
            <w:top w:w="0" w:type="dxa"/>
            <w:left w:w="0" w:type="dxa"/>
            <w:bottom w:w="0" w:type="dxa"/>
            <w:right w:w="0" w:type="dxa"/>
          </w:tblCellMar>
        </w:tblPrEx>
        <w:trPr>
          <w:trHeight w:val="4240"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1</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福州滨海新城三大运营商及省电云计算IDC供水工程</w:t>
            </w:r>
            <w:r>
              <w:rPr>
                <w:rFonts w:hint="eastAsia" w:ascii="宋体" w:hAnsi="宋体" w:cs="宋体"/>
                <w:color w:val="auto"/>
                <w:sz w:val="24"/>
              </w:rPr>
              <w:t>涉路施工安全技术评价报告</w:t>
            </w:r>
          </w:p>
          <w:p>
            <w:pPr>
              <w:widowControl/>
              <w:jc w:val="center"/>
              <w:textAlignment w:val="center"/>
              <w:rPr>
                <w:rFonts w:ascii="宋体" w:hAnsi="宋体" w:cs="宋体"/>
                <w:color w:val="auto"/>
                <w:sz w:val="24"/>
              </w:rPr>
            </w:pP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4"/>
              </w:rPr>
            </w:pPr>
            <w:r>
              <w:rPr>
                <w:rFonts w:hint="eastAsia" w:ascii="宋体" w:hAnsi="宋体" w:cs="宋体"/>
                <w:color w:val="auto"/>
                <w:sz w:val="24"/>
              </w:rPr>
              <w:t>1、服务项目：</w:t>
            </w:r>
            <w:r>
              <w:rPr>
                <w:rFonts w:hint="eastAsia" w:ascii="宋体" w:hAnsi="宋体" w:cs="宋体"/>
                <w:color w:val="auto"/>
                <w:sz w:val="24"/>
              </w:rPr>
              <w:t>福州滨海新城三大运营商及省电云计算IDC供水工程</w:t>
            </w:r>
            <w:r>
              <w:rPr>
                <w:rFonts w:hint="eastAsia" w:ascii="宋体" w:hAnsi="宋体" w:cs="宋体"/>
                <w:color w:val="auto"/>
                <w:sz w:val="24"/>
              </w:rPr>
              <w:t>涉路施工安全技术评价报告。</w:t>
            </w:r>
          </w:p>
          <w:p>
            <w:pPr>
              <w:widowControl/>
              <w:jc w:val="left"/>
              <w:textAlignment w:val="center"/>
              <w:rPr>
                <w:rFonts w:ascii="宋体" w:hAnsi="宋体" w:cs="宋体"/>
                <w:color w:val="auto"/>
                <w:sz w:val="24"/>
              </w:rPr>
            </w:pPr>
            <w:r>
              <w:rPr>
                <w:rFonts w:hint="eastAsia" w:ascii="宋体" w:hAnsi="宋体" w:cs="宋体"/>
                <w:color w:val="auto"/>
                <w:sz w:val="24"/>
              </w:rPr>
              <w:t>2、成果要求：调查报告需由具有</w:t>
            </w:r>
            <w:r>
              <w:rPr>
                <w:rFonts w:hint="eastAsia" w:ascii="宋体" w:hAnsi="宋体" w:cs="宋体"/>
                <w:color w:val="auto"/>
                <w:sz w:val="24"/>
                <w:shd w:val="clear" w:color="auto" w:fill="FFFFFF"/>
              </w:rPr>
              <w:t>安全评价资质的</w:t>
            </w:r>
            <w:r>
              <w:rPr>
                <w:rFonts w:hint="eastAsia" w:ascii="宋体" w:hAnsi="宋体" w:cs="宋体"/>
                <w:color w:val="auto"/>
                <w:sz w:val="24"/>
              </w:rPr>
              <w:t>单位（成交供应商）出具，且提供原件纸质版6份及电子档文件1份</w:t>
            </w:r>
            <w:r>
              <w:rPr>
                <w:rFonts w:hint="eastAsia" w:ascii="宋体" w:hAnsi="宋体" w:cs="宋体"/>
                <w:color w:val="auto"/>
                <w:sz w:val="24"/>
              </w:rPr>
              <w:t xml:space="preserve">。 </w:t>
            </w:r>
          </w:p>
          <w:p>
            <w:pPr>
              <w:widowControl/>
              <w:jc w:val="left"/>
              <w:textAlignment w:val="center"/>
              <w:rPr>
                <w:rFonts w:ascii="宋体" w:hAnsi="宋体" w:cs="宋体"/>
                <w:color w:val="auto"/>
                <w:sz w:val="24"/>
              </w:rPr>
            </w:pPr>
            <w:r>
              <w:rPr>
                <w:rFonts w:hint="eastAsia" w:ascii="宋体" w:hAnsi="宋体" w:cs="宋体"/>
                <w:color w:val="auto"/>
                <w:sz w:val="24"/>
              </w:rPr>
              <w:t>3、涉路施工安全技术评价报告需报送主管部门</w:t>
            </w:r>
            <w:r>
              <w:rPr>
                <w:rFonts w:hint="eastAsia" w:ascii="宋体" w:hAnsi="宋体" w:cs="Arial Unicode MS"/>
                <w:color w:val="auto"/>
                <w:kern w:val="0"/>
                <w:sz w:val="24"/>
              </w:rPr>
              <w:t>福州市长乐区城市管理局滨海分局</w:t>
            </w:r>
            <w:r>
              <w:rPr>
                <w:rFonts w:hint="eastAsia" w:ascii="宋体" w:hAnsi="宋体" w:cs="宋体"/>
                <w:color w:val="auto"/>
                <w:sz w:val="24"/>
              </w:rPr>
              <w:t>批复。报告先由评价单位组织专家评审，评价单位根据专家评审意见修改完善后提交采购人，采购人报送</w:t>
            </w:r>
            <w:r>
              <w:rPr>
                <w:rFonts w:hint="eastAsia" w:ascii="宋体" w:hAnsi="宋体" w:cs="宋体"/>
                <w:color w:val="auto"/>
                <w:sz w:val="24"/>
              </w:rPr>
              <w:t>福州市长乐区城市管理局滨海分局</w:t>
            </w:r>
            <w:r>
              <w:rPr>
                <w:rFonts w:hint="eastAsia" w:ascii="宋体" w:hAnsi="宋体" w:cs="宋体"/>
                <w:color w:val="auto"/>
                <w:sz w:val="24"/>
              </w:rPr>
              <w:t>，由主管部门出具意见，最终取得批复函。</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ascii="宋体" w:hAnsi="宋体" w:cs="宋体"/>
                <w:color w:val="auto"/>
                <w:kern w:val="0"/>
                <w:sz w:val="24"/>
              </w:rPr>
              <w:t>5</w:t>
            </w:r>
          </w:p>
        </w:tc>
        <w:tc>
          <w:tcPr>
            <w:tcW w:w="800" w:type="dxa"/>
            <w:tcBorders>
              <w:top w:val="single" w:color="000000" w:sz="4" w:space="0"/>
              <w:left w:val="single" w:color="000000" w:sz="4" w:space="0"/>
              <w:right w:val="single" w:color="000000" w:sz="4" w:space="0"/>
            </w:tcBorders>
          </w:tcPr>
          <w:p>
            <w:pPr>
              <w:widowControl/>
              <w:jc w:val="center"/>
              <w:textAlignment w:val="center"/>
              <w:rPr>
                <w:rFonts w:ascii="宋体" w:hAnsi="宋体" w:cs="宋体"/>
                <w:color w:val="auto"/>
                <w:kern w:val="0"/>
                <w:sz w:val="24"/>
              </w:rPr>
            </w:pPr>
          </w:p>
        </w:tc>
        <w:tc>
          <w:tcPr>
            <w:tcW w:w="96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auto"/>
                <w:kern w:val="0"/>
                <w:sz w:val="24"/>
              </w:rPr>
            </w:pPr>
          </w:p>
        </w:tc>
        <w:tc>
          <w:tcPr>
            <w:tcW w:w="64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auto"/>
                <w:kern w:val="0"/>
                <w:sz w:val="24"/>
              </w:rPr>
            </w:pPr>
          </w:p>
        </w:tc>
      </w:tr>
      <w:tr>
        <w:tblPrEx>
          <w:tblCellMar>
            <w:top w:w="0" w:type="dxa"/>
            <w:left w:w="0" w:type="dxa"/>
            <w:bottom w:w="0" w:type="dxa"/>
            <w:right w:w="0" w:type="dxa"/>
          </w:tblCellMar>
        </w:tblPrEx>
        <w:trPr>
          <w:trHeight w:val="375" w:hRule="atLeast"/>
          <w:jc w:val="center"/>
        </w:trPr>
        <w:tc>
          <w:tcPr>
            <w:tcW w:w="20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合计（含税）</w:t>
            </w:r>
          </w:p>
        </w:tc>
        <w:tc>
          <w:tcPr>
            <w:tcW w:w="733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auto"/>
                <w:sz w:val="24"/>
              </w:rPr>
            </w:pPr>
            <w:r>
              <w:rPr>
                <w:rFonts w:hint="eastAsia"/>
                <w:color w:val="auto"/>
                <w:sz w:val="24"/>
              </w:rPr>
              <w:t>大写：（小写：元）</w:t>
            </w:r>
          </w:p>
        </w:tc>
      </w:tr>
    </w:tbl>
    <w:p>
      <w:pPr>
        <w:widowControl/>
        <w:snapToGrid w:val="0"/>
        <w:spacing w:line="500" w:lineRule="exact"/>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3、报价文件应</w:t>
      </w:r>
      <w:r>
        <w:rPr>
          <w:rFonts w:hint="eastAsia" w:ascii="宋体" w:hAnsi="宋体" w:cs="Arial Unicode MS"/>
          <w:b/>
          <w:color w:val="auto"/>
          <w:kern w:val="0"/>
          <w:sz w:val="24"/>
        </w:rPr>
        <w:t>一式两份</w:t>
      </w:r>
      <w:r>
        <w:rPr>
          <w:rFonts w:hint="eastAsia" w:ascii="宋体" w:hAnsi="宋体" w:cs="Arial Unicode MS"/>
          <w:color w:val="auto"/>
          <w:kern w:val="0"/>
          <w:sz w:val="24"/>
        </w:rPr>
        <w:t>用密封的形式,</w:t>
      </w:r>
      <w:r>
        <w:rPr>
          <w:rFonts w:hint="eastAsia" w:ascii="宋体" w:hAnsi="宋体" w:cs="宋体"/>
          <w:color w:val="auto"/>
          <w:kern w:val="0"/>
          <w:sz w:val="24"/>
        </w:rPr>
        <w:t>并在密封面注明询价项目名称、编号、供应商名称、联系人、联系电话等，同时在各密封处加盖公章</w:t>
      </w:r>
      <w:r>
        <w:rPr>
          <w:rFonts w:hint="eastAsia" w:ascii="宋体" w:hAnsi="宋体" w:cs="Arial Unicode MS"/>
          <w:color w:val="auto"/>
          <w:kern w:val="0"/>
          <w:sz w:val="24"/>
        </w:rPr>
        <w:t>寄送至我司。</w:t>
      </w:r>
    </w:p>
    <w:p>
      <w:pPr>
        <w:widowControl/>
        <w:snapToGrid w:val="0"/>
        <w:spacing w:line="500" w:lineRule="exact"/>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报价文件送达时间:自询价公告发布起第五个工作日</w:t>
      </w:r>
      <w:r>
        <w:rPr>
          <w:rFonts w:hint="eastAsia" w:ascii="宋体" w:hAnsi="宋体"/>
          <w:color w:val="auto"/>
          <w:kern w:val="0"/>
          <w:sz w:val="24"/>
        </w:rPr>
        <w:t>之内</w:t>
      </w:r>
      <w:r>
        <w:rPr>
          <w:rFonts w:hint="eastAsia" w:ascii="宋体" w:hAnsi="宋体"/>
          <w:color w:val="auto"/>
          <w:sz w:val="24"/>
        </w:rPr>
        <w:t>，</w:t>
      </w:r>
      <w:r>
        <w:rPr>
          <w:rFonts w:hint="eastAsia" w:ascii="宋体" w:hAnsi="宋体" w:cs="Arial Unicode MS"/>
          <w:color w:val="auto"/>
          <w:kern w:val="0"/>
          <w:sz w:val="24"/>
        </w:rPr>
        <w:t>未按此要求的，将被视为无效报价文件。</w:t>
      </w:r>
    </w:p>
    <w:p>
      <w:pPr>
        <w:widowControl/>
        <w:numPr>
          <w:ilvl w:val="0"/>
          <w:numId w:val="1"/>
        </w:numPr>
        <w:snapToGrid w:val="0"/>
        <w:spacing w:line="500" w:lineRule="exact"/>
        <w:ind w:firstLine="480" w:firstLineChars="200"/>
        <w:rPr>
          <w:rFonts w:ascii="宋体" w:hAnsi="宋体" w:cs="Arial Unicode MS"/>
          <w:color w:val="auto"/>
          <w:sz w:val="24"/>
        </w:rPr>
      </w:pPr>
      <w:r>
        <w:rPr>
          <w:rFonts w:hint="eastAsia" w:ascii="宋体" w:hAnsi="宋体" w:cs="Arial Unicode MS"/>
          <w:color w:val="auto"/>
          <w:kern w:val="0"/>
          <w:sz w:val="24"/>
        </w:rPr>
        <w:t>收件人：</w:t>
      </w:r>
      <w:r>
        <w:rPr>
          <w:rFonts w:hint="eastAsia" w:ascii="宋体" w:hAnsi="宋体" w:cs="Arial Unicode MS"/>
          <w:color w:val="auto"/>
          <w:sz w:val="24"/>
        </w:rPr>
        <w:t>王女士；联系电话：18359606620</w:t>
      </w:r>
    </w:p>
    <w:p>
      <w:pPr>
        <w:widowControl/>
        <w:snapToGrid w:val="0"/>
        <w:spacing w:line="500" w:lineRule="exact"/>
        <w:ind w:firstLine="480" w:firstLineChars="200"/>
        <w:rPr>
          <w:rFonts w:ascii="宋体" w:hAnsi="宋体" w:cs="Arial Unicode MS"/>
          <w:color w:val="auto"/>
          <w:kern w:val="0"/>
          <w:sz w:val="24"/>
        </w:rPr>
      </w:pPr>
      <w:r>
        <w:rPr>
          <w:rFonts w:hint="eastAsia" w:ascii="宋体" w:hAnsi="宋体" w:cs="Arial Unicode MS"/>
          <w:color w:val="auto"/>
          <w:kern w:val="0"/>
          <w:sz w:val="24"/>
        </w:rPr>
        <w:t>地址：福州市长乐区漳港街道滨海新城建设总指挥部6层滨海水务公司（翔福物流园A区运管中心大楼）</w:t>
      </w:r>
    </w:p>
    <w:p>
      <w:pPr>
        <w:widowControl/>
        <w:numPr>
          <w:ilvl w:val="0"/>
          <w:numId w:val="2"/>
        </w:numPr>
        <w:snapToGrid w:val="0"/>
        <w:spacing w:line="500" w:lineRule="exact"/>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备注：</w:t>
      </w:r>
      <w:r>
        <w:rPr>
          <w:rFonts w:hint="eastAsia" w:ascii="宋体" w:hAnsi="宋体" w:cs="Arial Unicode MS"/>
          <w:b/>
          <w:color w:val="auto"/>
          <w:kern w:val="0"/>
          <w:sz w:val="24"/>
        </w:rPr>
        <w:t>本次询价采购服务合计最高限价为人民币</w:t>
      </w:r>
      <w:r>
        <w:rPr>
          <w:rFonts w:ascii="宋体" w:hAnsi="宋体" w:cs="Arial Unicode MS"/>
          <w:b/>
          <w:color w:val="auto"/>
          <w:kern w:val="0"/>
          <w:sz w:val="24"/>
        </w:rPr>
        <w:t>50000</w:t>
      </w:r>
      <w:r>
        <w:rPr>
          <w:rFonts w:hint="eastAsia" w:ascii="宋体" w:hAnsi="宋体" w:cs="Arial Unicode MS"/>
          <w:b/>
          <w:color w:val="auto"/>
          <w:kern w:val="0"/>
          <w:sz w:val="24"/>
        </w:rPr>
        <w:t>元</w:t>
      </w:r>
      <w:r>
        <w:rPr>
          <w:rFonts w:hint="eastAsia"/>
          <w:b/>
          <w:bCs/>
          <w:color w:val="auto"/>
          <w:sz w:val="24"/>
        </w:rPr>
        <w:t>（大写：伍万元整）</w:t>
      </w:r>
      <w:r>
        <w:rPr>
          <w:rFonts w:hint="eastAsia" w:ascii="宋体" w:hAnsi="宋体" w:cs="Arial Unicode MS"/>
          <w:color w:val="auto"/>
          <w:kern w:val="0"/>
          <w:sz w:val="24"/>
        </w:rPr>
        <w:t>，报价人最终报价总价</w:t>
      </w:r>
      <w:r>
        <w:rPr>
          <w:rFonts w:hint="eastAsia" w:ascii="宋体" w:hAnsi="宋体" w:cs="宋体"/>
          <w:color w:val="auto"/>
          <w:kern w:val="0"/>
          <w:sz w:val="24"/>
        </w:rPr>
        <w:t>（暂定总额）</w:t>
      </w:r>
      <w:r>
        <w:rPr>
          <w:rFonts w:hint="eastAsia" w:ascii="宋体" w:hAnsi="宋体" w:cs="Arial Unicode MS"/>
          <w:color w:val="auto"/>
          <w:kern w:val="0"/>
          <w:sz w:val="24"/>
        </w:rPr>
        <w:t>超出最高限价则为无效报价。报价人报价应含报价折扣系数（0＜报价折扣系数≤1）及报价总价，其中报价总价为按照“6、计价依据”计算得出的最高控制价根据报价折扣系数下浮后确定</w:t>
      </w:r>
      <w:r>
        <w:rPr>
          <w:rFonts w:hint="eastAsia" w:ascii="宋体" w:hAnsi="宋体" w:cs="宋体"/>
          <w:color w:val="auto"/>
          <w:kern w:val="0"/>
          <w:sz w:val="24"/>
        </w:rPr>
        <w:t>，各分项最高控制价详见询价一览表。最终报价总价（暂定总额）=∑各分项报价总价=∑（各分项最高控制价*</w:t>
      </w:r>
      <w:r>
        <w:rPr>
          <w:rFonts w:hint="eastAsia" w:ascii="宋体" w:hAnsi="宋体" w:cs="Tahoma"/>
          <w:color w:val="auto"/>
          <w:kern w:val="0"/>
          <w:sz w:val="24"/>
        </w:rPr>
        <w:t>报价折扣系数）</w:t>
      </w:r>
      <w:r>
        <w:rPr>
          <w:rFonts w:hint="eastAsia" w:ascii="宋体" w:hAnsi="宋体" w:cs="宋体"/>
          <w:color w:val="auto"/>
          <w:kern w:val="0"/>
          <w:sz w:val="24"/>
        </w:rPr>
        <w:t>。</w:t>
      </w:r>
      <w:r>
        <w:rPr>
          <w:rFonts w:hint="eastAsia" w:ascii="宋体" w:hAnsi="宋体" w:cs="Arial Unicode MS"/>
          <w:color w:val="auto"/>
          <w:kern w:val="0"/>
          <w:sz w:val="24"/>
        </w:rPr>
        <w:t>报价人报价非合同最终价格，</w:t>
      </w:r>
      <w:r>
        <w:rPr>
          <w:rFonts w:hint="eastAsia"/>
          <w:color w:val="auto"/>
          <w:sz w:val="24"/>
        </w:rPr>
        <w:t>最终价格</w:t>
      </w:r>
      <w:r>
        <w:rPr>
          <w:rFonts w:hint="eastAsia" w:ascii="宋体" w:hAnsi="宋体" w:cs="Tahoma"/>
          <w:color w:val="auto"/>
          <w:kern w:val="0"/>
          <w:sz w:val="24"/>
        </w:rPr>
        <w:t>以财政审核价或采购人委托有资质的第三方审核机构审后价*报价折扣系数为准</w:t>
      </w:r>
      <w:r>
        <w:rPr>
          <w:rFonts w:hint="eastAsia" w:ascii="宋体" w:hAnsi="宋体" w:cs="Tahoma"/>
          <w:color w:val="auto"/>
          <w:kern w:val="0"/>
          <w:sz w:val="24"/>
        </w:rPr>
        <w:t>，但最高总价不超过</w:t>
      </w:r>
      <w:r>
        <w:rPr>
          <w:rFonts w:ascii="宋体" w:hAnsi="宋体" w:cs="Tahoma"/>
          <w:color w:val="auto"/>
          <w:kern w:val="0"/>
          <w:sz w:val="24"/>
        </w:rPr>
        <w:t>50000</w:t>
      </w:r>
      <w:r>
        <w:rPr>
          <w:rFonts w:hint="eastAsia" w:ascii="宋体" w:hAnsi="宋体" w:cs="Tahoma"/>
          <w:color w:val="auto"/>
          <w:kern w:val="0"/>
          <w:sz w:val="24"/>
        </w:rPr>
        <w:t>元。</w:t>
      </w:r>
    </w:p>
    <w:p>
      <w:pPr>
        <w:widowControl/>
        <w:numPr>
          <w:ilvl w:val="0"/>
          <w:numId w:val="2"/>
        </w:numPr>
        <w:snapToGrid w:val="0"/>
        <w:spacing w:line="500" w:lineRule="exact"/>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计价依据：</w:t>
      </w:r>
    </w:p>
    <w:p>
      <w:pPr>
        <w:widowControl/>
        <w:snapToGrid w:val="0"/>
        <w:spacing w:line="500" w:lineRule="exact"/>
        <w:ind w:left="479" w:leftChars="228"/>
        <w:jc w:val="left"/>
        <w:rPr>
          <w:rFonts w:ascii="宋体" w:hAnsi="宋体" w:cs="宋体"/>
          <w:color w:val="auto"/>
          <w:kern w:val="0"/>
          <w:sz w:val="24"/>
        </w:rPr>
      </w:pPr>
      <w:r>
        <w:rPr>
          <w:rFonts w:hint="eastAsia" w:ascii="宋体" w:hAnsi="宋体" w:cs="Arial Unicode MS"/>
          <w:color w:val="auto"/>
          <w:kern w:val="0"/>
          <w:sz w:val="24"/>
        </w:rPr>
        <w:t xml:space="preserve">6.1 </w:t>
      </w:r>
      <w:r>
        <w:rPr>
          <w:rFonts w:hint="eastAsia" w:ascii="宋体" w:hAnsi="宋体" w:cs="宋体"/>
          <w:color w:val="auto"/>
          <w:sz w:val="24"/>
        </w:rPr>
        <w:t>参照《福建省物价局关于重新核定矿山安全生产状况评估收费标准的批复》闽价[2004]服449号及安全评价行业相关规定</w:t>
      </w:r>
    </w:p>
    <w:p>
      <w:pPr>
        <w:widowControl/>
        <w:snapToGrid w:val="0"/>
        <w:spacing w:line="500" w:lineRule="exact"/>
        <w:ind w:left="479" w:leftChars="228"/>
        <w:jc w:val="left"/>
        <w:rPr>
          <w:rFonts w:ascii="宋体" w:hAnsi="宋体" w:cs="宋体"/>
          <w:color w:val="auto"/>
          <w:sz w:val="24"/>
        </w:rPr>
      </w:pPr>
      <w:r>
        <w:rPr>
          <w:rFonts w:hint="eastAsia" w:ascii="宋体" w:hAnsi="宋体" w:cs="Arial Unicode MS"/>
          <w:color w:val="auto"/>
          <w:kern w:val="0"/>
          <w:sz w:val="24"/>
        </w:rPr>
        <w:t>6.2</w:t>
      </w:r>
      <w:r>
        <w:rPr>
          <w:rFonts w:hint="eastAsia" w:ascii="宋体" w:hAnsi="宋体" w:cs="宋体"/>
          <w:color w:val="auto"/>
          <w:sz w:val="24"/>
        </w:rPr>
        <w:t>福州滨海新城三大运营商及省电云计算IDC供水工程管线可研报告、路由</w:t>
      </w:r>
      <w:r>
        <w:rPr>
          <w:rFonts w:hint="eastAsia" w:ascii="宋体" w:hAnsi="宋体" w:cs="宋体"/>
          <w:color w:val="auto"/>
          <w:sz w:val="24"/>
        </w:rPr>
        <w:t>图（见附件）</w:t>
      </w:r>
    </w:p>
    <w:p>
      <w:pPr>
        <w:spacing w:line="560" w:lineRule="exact"/>
        <w:ind w:firstLine="480" w:firstLineChars="200"/>
        <w:rPr>
          <w:rFonts w:ascii="宋体" w:hAnsi="宋体" w:cs="Arial Unicode MS"/>
          <w:color w:val="auto"/>
          <w:kern w:val="0"/>
          <w:sz w:val="24"/>
        </w:rPr>
      </w:pPr>
      <w:r>
        <w:rPr>
          <w:rFonts w:hint="eastAsia" w:ascii="宋体" w:hAnsi="宋体" w:cs="Arial Unicode MS"/>
          <w:color w:val="auto"/>
          <w:kern w:val="0"/>
          <w:sz w:val="24"/>
        </w:rPr>
        <w:t>7、结算办法：合同另行约定（详见附件《涉路施工安全技术评价报告服务采购合同》）。</w:t>
      </w:r>
    </w:p>
    <w:p>
      <w:pPr>
        <w:spacing w:line="560" w:lineRule="exact"/>
        <w:ind w:firstLine="480" w:firstLineChars="200"/>
        <w:rPr>
          <w:rFonts w:ascii="宋体" w:hAnsi="宋体" w:cs="Arial Unicode MS"/>
          <w:color w:val="auto"/>
          <w:kern w:val="0"/>
          <w:sz w:val="24"/>
        </w:rPr>
      </w:pPr>
      <w:r>
        <w:rPr>
          <w:rFonts w:hint="eastAsia" w:ascii="宋体" w:hAnsi="宋体" w:cs="Arial Unicode MS"/>
          <w:color w:val="auto"/>
          <w:kern w:val="0"/>
          <w:sz w:val="24"/>
        </w:rPr>
        <w:t>8、验收方式：取得福州市长乐区城市管理局滨海分局批复文件。</w:t>
      </w:r>
    </w:p>
    <w:p>
      <w:pPr>
        <w:widowControl/>
        <w:snapToGrid w:val="0"/>
        <w:spacing w:line="500" w:lineRule="exact"/>
        <w:ind w:firstLine="120" w:firstLineChars="50"/>
        <w:jc w:val="left"/>
        <w:rPr>
          <w:rFonts w:ascii="宋体" w:hAnsi="宋体" w:cs="Arial Unicode MS"/>
          <w:color w:val="auto"/>
          <w:kern w:val="0"/>
          <w:sz w:val="24"/>
        </w:rPr>
      </w:pPr>
      <w:r>
        <w:rPr>
          <w:rFonts w:hint="eastAsia" w:ascii="宋体" w:hAnsi="宋体" w:cs="Arial Unicode MS"/>
          <w:color w:val="auto"/>
          <w:kern w:val="0"/>
          <w:sz w:val="24"/>
        </w:rPr>
        <w:t>二、报价须知</w:t>
      </w:r>
    </w:p>
    <w:p>
      <w:pPr>
        <w:pStyle w:val="10"/>
        <w:spacing w:line="500" w:lineRule="exact"/>
        <w:ind w:firstLine="480"/>
        <w:rPr>
          <w:rFonts w:ascii="宋体" w:hAnsi="宋体"/>
          <w:color w:val="auto"/>
          <w:sz w:val="24"/>
          <w:szCs w:val="24"/>
        </w:rPr>
      </w:pPr>
      <w:r>
        <w:rPr>
          <w:rFonts w:hint="eastAsia" w:ascii="宋体" w:hAnsi="宋体" w:cs="Arial Unicode MS"/>
          <w:color w:val="auto"/>
          <w:kern w:val="0"/>
          <w:sz w:val="24"/>
        </w:rPr>
        <w:t>1、</w:t>
      </w:r>
      <w:r>
        <w:rPr>
          <w:rFonts w:hint="eastAsia" w:ascii="宋体" w:hAnsi="宋体" w:cs="Arial Unicode MS"/>
          <w:color w:val="auto"/>
          <w:kern w:val="0"/>
          <w:sz w:val="24"/>
          <w:szCs w:val="24"/>
        </w:rPr>
        <w:t>报价人需</w:t>
      </w:r>
      <w:r>
        <w:rPr>
          <w:rFonts w:hint="eastAsia" w:ascii="宋体" w:hAnsi="宋体"/>
          <w:color w:val="auto"/>
          <w:sz w:val="24"/>
          <w:szCs w:val="24"/>
        </w:rPr>
        <w:t>提供：</w:t>
      </w:r>
      <w:r>
        <w:rPr>
          <w:rFonts w:hint="eastAsia" w:ascii="宋体" w:hAnsi="宋体"/>
          <w:b/>
          <w:color w:val="auto"/>
          <w:sz w:val="24"/>
          <w:szCs w:val="24"/>
        </w:rPr>
        <w:t>营业执照复印件、法定代表人授权委托书、法定代表人身份证复印件、委托人身份证复印件</w:t>
      </w:r>
      <w:r>
        <w:rPr>
          <w:rFonts w:hint="eastAsia" w:ascii="宋体" w:hAnsi="宋体"/>
          <w:color w:val="auto"/>
          <w:sz w:val="24"/>
        </w:rPr>
        <w:t>，</w:t>
      </w:r>
      <w:r>
        <w:rPr>
          <w:rFonts w:hint="eastAsia" w:ascii="宋体" w:hAnsi="宋体" w:cs="宋体"/>
          <w:color w:val="auto"/>
          <w:sz w:val="24"/>
        </w:rPr>
        <w:t>具有履行合同所必需设备和专业技术能力</w:t>
      </w:r>
      <w:r>
        <w:rPr>
          <w:rFonts w:hint="eastAsia" w:ascii="宋体" w:hAnsi="宋体" w:cs="宋体"/>
          <w:b/>
          <w:color w:val="auto"/>
          <w:sz w:val="24"/>
        </w:rPr>
        <w:t>（具有安全评价资质、报价时提供具有一项以上近三年内涉路施工安全技术评价报告业绩合同复印件）</w:t>
      </w:r>
      <w:r>
        <w:rPr>
          <w:rFonts w:hint="eastAsia" w:ascii="宋体" w:hAnsi="宋体" w:cs="宋体"/>
          <w:bCs/>
          <w:color w:val="auto"/>
          <w:sz w:val="24"/>
        </w:rPr>
        <w:t>，</w:t>
      </w:r>
      <w:r>
        <w:rPr>
          <w:rFonts w:hint="eastAsia" w:ascii="宋体" w:hAnsi="宋体"/>
          <w:color w:val="auto"/>
          <w:sz w:val="24"/>
          <w:szCs w:val="24"/>
        </w:rPr>
        <w:t>以上文件需加盖公章，</w:t>
      </w:r>
      <w:r>
        <w:rPr>
          <w:rFonts w:hint="eastAsia" w:ascii="宋体" w:hAnsi="宋体" w:cs="宋体"/>
          <w:color w:val="auto"/>
          <w:kern w:val="0"/>
          <w:sz w:val="24"/>
          <w:szCs w:val="24"/>
        </w:rPr>
        <w:t>原件待询价人需要时备查</w:t>
      </w:r>
      <w:r>
        <w:rPr>
          <w:rFonts w:hint="eastAsia" w:ascii="宋体" w:hAnsi="宋体"/>
          <w:color w:val="auto"/>
          <w:sz w:val="24"/>
          <w:szCs w:val="24"/>
        </w:rPr>
        <w:t>。</w:t>
      </w:r>
      <w:r>
        <w:rPr>
          <w:rFonts w:hint="eastAsia" w:ascii="宋体" w:hAnsi="宋体" w:cs="宋体"/>
          <w:color w:val="auto"/>
          <w:kern w:val="0"/>
          <w:sz w:val="24"/>
          <w:szCs w:val="24"/>
        </w:rPr>
        <w:t>未按此要求的，将被视为无效报价文件。</w:t>
      </w:r>
    </w:p>
    <w:p>
      <w:pPr>
        <w:spacing w:line="500" w:lineRule="exact"/>
        <w:ind w:firstLine="480" w:firstLineChars="200"/>
        <w:rPr>
          <w:rFonts w:ascii="宋体" w:hAnsi="宋体" w:cs="Arial Unicode MS"/>
          <w:color w:val="auto"/>
          <w:kern w:val="0"/>
          <w:sz w:val="24"/>
        </w:rPr>
      </w:pPr>
      <w:r>
        <w:rPr>
          <w:rFonts w:hint="eastAsia" w:ascii="宋体" w:hAnsi="宋体" w:cs="宋体"/>
          <w:color w:val="auto"/>
          <w:sz w:val="24"/>
        </w:rPr>
        <w:t>2、</w:t>
      </w:r>
      <w:r>
        <w:rPr>
          <w:rFonts w:hint="eastAsia" w:ascii="宋体" w:hAnsi="宋体" w:cs="Arial Unicode MS"/>
          <w:color w:val="auto"/>
          <w:kern w:val="0"/>
          <w:sz w:val="24"/>
        </w:rPr>
        <w:t>报价人报价的服务必须符合“</w:t>
      </w:r>
      <w:r>
        <w:rPr>
          <w:rFonts w:hint="eastAsia" w:ascii="宋体" w:hAnsi="宋体" w:cs="Arial Unicode MS"/>
          <w:b/>
          <w:bCs/>
          <w:color w:val="auto"/>
          <w:kern w:val="0"/>
          <w:sz w:val="24"/>
        </w:rPr>
        <w:t>询价一览表</w:t>
      </w:r>
      <w:r>
        <w:rPr>
          <w:rFonts w:hint="eastAsia" w:ascii="宋体" w:hAnsi="宋体" w:cs="Arial Unicode MS"/>
          <w:color w:val="auto"/>
          <w:kern w:val="0"/>
          <w:sz w:val="24"/>
        </w:rPr>
        <w:t>”的要求，须在报价文件中详细说明所提供服务的技术规格和参数。上述技术规格及要求中所发生的一切费用均包含在报价价格中（包括专家评审费），不接受可选性报价（如详细配置有“可选购、大于、小于、优于”等描述都将视为无效报价）。</w:t>
      </w:r>
    </w:p>
    <w:p>
      <w:pPr>
        <w:spacing w:line="500" w:lineRule="exact"/>
        <w:ind w:firstLine="480" w:firstLineChars="200"/>
        <w:rPr>
          <w:rFonts w:ascii="宋体" w:hAnsi="宋体" w:cs="Arial Unicode MS"/>
          <w:color w:val="auto"/>
          <w:kern w:val="0"/>
          <w:sz w:val="24"/>
        </w:rPr>
      </w:pPr>
      <w:r>
        <w:rPr>
          <w:rFonts w:hint="eastAsia" w:ascii="宋体" w:hAnsi="宋体" w:cs="Arial Unicode MS"/>
          <w:color w:val="auto"/>
          <w:kern w:val="0"/>
          <w:sz w:val="24"/>
        </w:rPr>
        <w:t>3、报价人应遵守相关法规，若报价人违反规定，依照违规情节将其列入违规供应商名单，停止其一个月以上、三年以内的报价资格。</w:t>
      </w:r>
    </w:p>
    <w:p>
      <w:pPr>
        <w:spacing w:line="500" w:lineRule="exact"/>
        <w:ind w:firstLine="480" w:firstLineChars="200"/>
        <w:rPr>
          <w:rFonts w:ascii="宋体" w:hAnsi="宋体" w:cs="Arial Unicode MS"/>
          <w:color w:val="auto"/>
          <w:kern w:val="0"/>
          <w:sz w:val="24"/>
        </w:rPr>
      </w:pPr>
      <w:r>
        <w:rPr>
          <w:rFonts w:hint="eastAsia" w:ascii="宋体" w:hAnsi="宋体" w:cs="Arial Unicode MS"/>
          <w:color w:val="auto"/>
          <w:kern w:val="0"/>
          <w:sz w:val="24"/>
        </w:rPr>
        <w:t>4、无论报价过程中的做法和结果如何，报价人自行承担所有参与报价的全部有关费用。</w:t>
      </w:r>
    </w:p>
    <w:p>
      <w:pPr>
        <w:spacing w:line="500" w:lineRule="exact"/>
        <w:rPr>
          <w:rFonts w:ascii="宋体" w:hAnsi="宋体" w:cs="宋体"/>
          <w:color w:val="auto"/>
          <w:sz w:val="24"/>
        </w:rPr>
      </w:pPr>
      <w:r>
        <w:rPr>
          <w:rFonts w:hint="eastAsia" w:ascii="宋体" w:hAnsi="宋体" w:cs="宋体"/>
          <w:color w:val="auto"/>
          <w:sz w:val="24"/>
        </w:rPr>
        <w:t>三、 评审办法、时间及地点</w:t>
      </w:r>
    </w:p>
    <w:p>
      <w:pPr>
        <w:spacing w:line="500" w:lineRule="exact"/>
        <w:ind w:firstLine="480" w:firstLineChars="200"/>
        <w:rPr>
          <w:rFonts w:ascii="宋体" w:hAnsi="宋体" w:cs="宋体"/>
          <w:color w:val="auto"/>
          <w:sz w:val="24"/>
        </w:rPr>
      </w:pPr>
      <w:r>
        <w:rPr>
          <w:rFonts w:hint="eastAsia" w:ascii="宋体" w:hAnsi="宋体" w:cs="宋体"/>
          <w:color w:val="auto"/>
          <w:sz w:val="24"/>
        </w:rPr>
        <w:t>1、评审办法：符合条件的</w:t>
      </w:r>
      <w:r>
        <w:rPr>
          <w:rFonts w:hint="eastAsia" w:ascii="宋体" w:hAnsi="宋体" w:cs="宋体"/>
          <w:color w:val="auto"/>
          <w:sz w:val="24"/>
        </w:rPr>
        <w:t>供应商</w:t>
      </w:r>
      <w:r>
        <w:rPr>
          <w:rFonts w:hint="eastAsia" w:ascii="宋体" w:hAnsi="宋体" w:cs="宋体"/>
          <w:color w:val="auto"/>
          <w:kern w:val="0"/>
          <w:sz w:val="24"/>
        </w:rPr>
        <w:t>最终报价（暂定总额）</w:t>
      </w:r>
      <w:r>
        <w:rPr>
          <w:rFonts w:hint="eastAsia" w:ascii="宋体" w:hAnsi="宋体" w:cs="宋体"/>
          <w:color w:val="auto"/>
          <w:sz w:val="24"/>
        </w:rPr>
        <w:t>最低价成交</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2、评审时间及地点：自询价函</w:t>
      </w:r>
      <w:r>
        <w:rPr>
          <w:rFonts w:hint="eastAsia" w:ascii="宋体" w:hAnsi="宋体" w:cs="Arial Unicode MS"/>
          <w:color w:val="auto"/>
          <w:kern w:val="0"/>
          <w:sz w:val="24"/>
        </w:rPr>
        <w:t>挂网</w:t>
      </w:r>
      <w:r>
        <w:rPr>
          <w:rFonts w:hint="eastAsia" w:ascii="宋体" w:hAnsi="宋体" w:cs="宋体"/>
          <w:color w:val="auto"/>
          <w:sz w:val="24"/>
        </w:rPr>
        <w:t>之日起第七个工作日，位于福州市滨海水务发展有限公司确定成交供应商。</w:t>
      </w:r>
    </w:p>
    <w:p>
      <w:pPr>
        <w:spacing w:line="500" w:lineRule="exact"/>
        <w:rPr>
          <w:rFonts w:ascii="宋体" w:hAnsi="宋体" w:cs="宋体"/>
          <w:color w:val="auto"/>
          <w:sz w:val="24"/>
        </w:rPr>
      </w:pPr>
      <w:r>
        <w:rPr>
          <w:rFonts w:hint="eastAsia" w:ascii="宋体" w:hAnsi="宋体" w:cs="宋体"/>
          <w:color w:val="auto"/>
          <w:sz w:val="24"/>
        </w:rPr>
        <w:t>四、签订合同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在通知成交后，根据采购人要求在规定时间内签订合同。</w:t>
      </w:r>
    </w:p>
    <w:p>
      <w:pPr>
        <w:spacing w:line="500" w:lineRule="exact"/>
        <w:rPr>
          <w:rFonts w:ascii="宋体" w:hAnsi="宋体" w:cs="宋体"/>
          <w:color w:val="auto"/>
          <w:sz w:val="24"/>
        </w:rPr>
      </w:pPr>
      <w:r>
        <w:rPr>
          <w:rFonts w:hint="eastAsia" w:ascii="宋体" w:hAnsi="宋体" w:cs="宋体"/>
          <w:color w:val="auto"/>
          <w:sz w:val="24"/>
        </w:rPr>
        <w:t>五、询价结果确认</w:t>
      </w:r>
    </w:p>
    <w:p>
      <w:pPr>
        <w:spacing w:line="500" w:lineRule="exact"/>
        <w:ind w:firstLine="480" w:firstLineChars="200"/>
        <w:rPr>
          <w:rFonts w:ascii="宋体" w:hAnsi="宋体" w:cs="宋体"/>
          <w:color w:val="auto"/>
          <w:sz w:val="24"/>
        </w:rPr>
      </w:pPr>
      <w:r>
        <w:rPr>
          <w:rFonts w:hint="eastAsia" w:ascii="宋体" w:hAnsi="宋体" w:cs="宋体"/>
          <w:color w:val="auto"/>
          <w:sz w:val="24"/>
        </w:rPr>
        <w:t>确定成交供应商后五个工作日内，成交结果将以电话形式告知成交供应商。</w:t>
      </w:r>
    </w:p>
    <w:p>
      <w:pPr>
        <w:spacing w:line="500" w:lineRule="exact"/>
        <w:rPr>
          <w:rFonts w:ascii="宋体" w:hAnsi="宋体" w:cs="Arial Unicode MS"/>
          <w:color w:val="auto"/>
          <w:kern w:val="0"/>
          <w:sz w:val="24"/>
        </w:rPr>
      </w:pPr>
      <w:bookmarkStart w:id="0" w:name="_GoBack"/>
      <w:bookmarkEnd w:id="0"/>
    </w:p>
    <w:p>
      <w:pPr>
        <w:spacing w:line="500" w:lineRule="exact"/>
        <w:jc w:val="right"/>
        <w:rPr>
          <w:rFonts w:ascii="宋体" w:hAnsi="宋体" w:cs="Arial Unicode MS"/>
          <w:color w:val="auto"/>
          <w:kern w:val="0"/>
          <w:sz w:val="24"/>
        </w:rPr>
      </w:pPr>
      <w:r>
        <w:rPr>
          <w:rFonts w:hint="eastAsia" w:ascii="宋体" w:hAnsi="宋体" w:cs="Arial Unicode MS"/>
          <w:color w:val="auto"/>
          <w:kern w:val="0"/>
          <w:sz w:val="24"/>
        </w:rPr>
        <w:t xml:space="preserve">福州市滨海水务发展有限公司    </w:t>
      </w:r>
    </w:p>
    <w:p>
      <w:pPr>
        <w:ind w:firstLine="6000" w:firstLineChars="2500"/>
        <w:rPr>
          <w:rFonts w:ascii="宋体" w:hAnsi="宋体" w:cs="Arial Unicode MS"/>
          <w:color w:val="auto"/>
          <w:kern w:val="0"/>
          <w:sz w:val="24"/>
        </w:rPr>
      </w:pPr>
      <w:r>
        <w:rPr>
          <w:rFonts w:hint="eastAsia" w:ascii="宋体" w:hAnsi="宋体" w:cs="Arial Unicode MS"/>
          <w:color w:val="auto"/>
          <w:kern w:val="0"/>
          <w:sz w:val="24"/>
        </w:rPr>
        <w:t>2021年</w:t>
      </w:r>
      <w:r>
        <w:rPr>
          <w:rFonts w:ascii="宋体" w:hAnsi="宋体" w:cs="Arial Unicode MS"/>
          <w:color w:val="auto"/>
          <w:kern w:val="0"/>
          <w:sz w:val="24"/>
        </w:rPr>
        <w:t>10</w:t>
      </w:r>
      <w:r>
        <w:rPr>
          <w:rFonts w:hint="eastAsia" w:ascii="宋体" w:hAnsi="宋体" w:cs="Arial Unicode MS"/>
          <w:color w:val="auto"/>
          <w:kern w:val="0"/>
          <w:sz w:val="24"/>
        </w:rPr>
        <w:t>月</w:t>
      </w:r>
      <w:r>
        <w:rPr>
          <w:rFonts w:hint="eastAsia" w:ascii="宋体" w:hAnsi="宋体" w:cs="Arial Unicode MS"/>
          <w:color w:val="auto"/>
          <w:kern w:val="0"/>
          <w:sz w:val="24"/>
          <w:lang w:val="en-US" w:eastAsia="zh-CN"/>
        </w:rPr>
        <w:t>22</w:t>
      </w:r>
      <w:r>
        <w:rPr>
          <w:rFonts w:hint="eastAsia" w:ascii="宋体" w:hAnsi="宋体" w:cs="Arial Unicode MS"/>
          <w:color w:val="auto"/>
          <w:kern w:val="0"/>
          <w:sz w:val="24"/>
        </w:rPr>
        <w:t>日</w:t>
      </w:r>
    </w:p>
    <w:p>
      <w:pPr>
        <w:rPr>
          <w:rFonts w:ascii="宋体" w:hAnsi="宋体" w:cs="Arial Unicode MS"/>
          <w:color w:val="auto"/>
          <w:kern w:val="0"/>
          <w:sz w:val="24"/>
        </w:rPr>
      </w:pPr>
    </w:p>
    <w:p>
      <w:pPr>
        <w:rPr>
          <w:rFonts w:ascii="宋体" w:hAnsi="宋体" w:cs="Arial Unicode MS"/>
          <w:color w:val="auto"/>
          <w:kern w:val="0"/>
          <w:sz w:val="24"/>
        </w:rPr>
      </w:pPr>
    </w:p>
    <w:p>
      <w:pPr>
        <w:widowControl/>
        <w:spacing w:before="90"/>
        <w:ind w:firstLine="960" w:firstLineChars="400"/>
        <w:jc w:val="left"/>
        <w:rPr>
          <w:rFonts w:ascii="宋体" w:hAnsi="宋体" w:cs="Arial Unicode MS"/>
          <w:color w:val="auto"/>
          <w:kern w:val="0"/>
          <w:sz w:val="24"/>
        </w:rPr>
      </w:pPr>
    </w:p>
    <w:p>
      <w:pPr>
        <w:rPr>
          <w:rFonts w:ascii="宋体" w:hAnsi="宋体" w:cs="Arial Unicode MS"/>
          <w:color w:val="auto"/>
          <w:kern w:val="0"/>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0387A"/>
    <w:multiLevelType w:val="singleLevel"/>
    <w:tmpl w:val="DFC0387A"/>
    <w:lvl w:ilvl="0" w:tentative="0">
      <w:start w:val="5"/>
      <w:numFmt w:val="decimal"/>
      <w:suff w:val="nothing"/>
      <w:lvlText w:val="%1、"/>
      <w:lvlJc w:val="left"/>
    </w:lvl>
  </w:abstractNum>
  <w:abstractNum w:abstractNumId="1">
    <w:nsid w:val="6915CA66"/>
    <w:multiLevelType w:val="singleLevel"/>
    <w:tmpl w:val="6915CA66"/>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2766B"/>
    <w:rsid w:val="000C3EED"/>
    <w:rsid w:val="00141194"/>
    <w:rsid w:val="002B40F3"/>
    <w:rsid w:val="00305D09"/>
    <w:rsid w:val="00334BC5"/>
    <w:rsid w:val="003575F3"/>
    <w:rsid w:val="003A46FE"/>
    <w:rsid w:val="004A1387"/>
    <w:rsid w:val="004A1B3A"/>
    <w:rsid w:val="006877E0"/>
    <w:rsid w:val="006A0176"/>
    <w:rsid w:val="0072766B"/>
    <w:rsid w:val="007332DC"/>
    <w:rsid w:val="00743916"/>
    <w:rsid w:val="007B2A2D"/>
    <w:rsid w:val="00832C70"/>
    <w:rsid w:val="0088470B"/>
    <w:rsid w:val="008B5D8C"/>
    <w:rsid w:val="00966AA8"/>
    <w:rsid w:val="00AB76E3"/>
    <w:rsid w:val="00C9336B"/>
    <w:rsid w:val="00DC4636"/>
    <w:rsid w:val="00E376D4"/>
    <w:rsid w:val="00E52E55"/>
    <w:rsid w:val="00EE3D6C"/>
    <w:rsid w:val="00EF49AA"/>
    <w:rsid w:val="00F555D8"/>
    <w:rsid w:val="00F71BFD"/>
    <w:rsid w:val="05210B4F"/>
    <w:rsid w:val="108659D2"/>
    <w:rsid w:val="125A0533"/>
    <w:rsid w:val="13177573"/>
    <w:rsid w:val="152A6606"/>
    <w:rsid w:val="16765CA1"/>
    <w:rsid w:val="17763401"/>
    <w:rsid w:val="1C337FAB"/>
    <w:rsid w:val="1E4F24DC"/>
    <w:rsid w:val="24E21706"/>
    <w:rsid w:val="25AE7FDC"/>
    <w:rsid w:val="26BE1EB3"/>
    <w:rsid w:val="3EFD5E42"/>
    <w:rsid w:val="3EFF6421"/>
    <w:rsid w:val="409C2493"/>
    <w:rsid w:val="44442F3F"/>
    <w:rsid w:val="48CF2548"/>
    <w:rsid w:val="490F1404"/>
    <w:rsid w:val="4C285837"/>
    <w:rsid w:val="5BFE60D5"/>
    <w:rsid w:val="5DB933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2"/>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出段落1"/>
    <w:basedOn w:val="1"/>
    <w:qFormat/>
    <w:uiPriority w:val="34"/>
    <w:pPr>
      <w:ind w:firstLine="420" w:firstLineChars="200"/>
    </w:pPr>
    <w:rPr>
      <w:rFonts w:ascii="Calibri" w:hAnsi="Calibri"/>
      <w:szCs w:val="22"/>
    </w:rPr>
  </w:style>
  <w:style w:type="paragraph" w:customStyle="1" w:styleId="10">
    <w:name w:val="列出段落2"/>
    <w:basedOn w:val="1"/>
    <w:qFormat/>
    <w:uiPriority w:val="34"/>
    <w:pPr>
      <w:ind w:firstLine="420" w:firstLineChars="200"/>
    </w:pPr>
    <w:rPr>
      <w:rFonts w:ascii="Calibri" w:hAnsi="Calibri"/>
      <w:szCs w:val="22"/>
    </w:rPr>
  </w:style>
  <w:style w:type="character" w:customStyle="1" w:styleId="11">
    <w:name w:val="font01"/>
    <w:qFormat/>
    <w:uiPriority w:val="0"/>
    <w:rPr>
      <w:rFonts w:ascii="Calibri" w:hAnsi="Calibri" w:cs="Calibri"/>
      <w:color w:val="000000"/>
      <w:sz w:val="22"/>
      <w:szCs w:val="22"/>
      <w:u w:val="none"/>
    </w:rPr>
  </w:style>
  <w:style w:type="character" w:customStyle="1" w:styleId="12">
    <w:name w:val="日期 字符"/>
    <w:link w:val="3"/>
    <w:semiHidden/>
    <w:qFormat/>
    <w:uiPriority w:val="99"/>
    <w:rPr>
      <w:rFonts w:ascii="Times New Roman" w:hAnsi="Times New Roman"/>
      <w:kern w:val="2"/>
      <w:sz w:val="21"/>
      <w:szCs w:val="24"/>
    </w:rPr>
  </w:style>
  <w:style w:type="character" w:customStyle="1" w:styleId="13">
    <w:name w:val="font1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8"/>
      <w:szCs w:val="28"/>
      <w:u w:val="none"/>
    </w:rPr>
  </w:style>
  <w:style w:type="character" w:customStyle="1" w:styleId="15">
    <w:name w:val="页眉 字符"/>
    <w:link w:val="6"/>
    <w:semiHidden/>
    <w:qFormat/>
    <w:uiPriority w:val="99"/>
    <w:rPr>
      <w:rFonts w:ascii="Times New Roman" w:hAnsi="Times New Roman" w:eastAsia="宋体" w:cs="Times New Roman"/>
      <w:sz w:val="18"/>
      <w:szCs w:val="18"/>
    </w:rPr>
  </w:style>
  <w:style w:type="character" w:customStyle="1" w:styleId="16">
    <w:name w:val="页脚 字符"/>
    <w:link w:val="5"/>
    <w:semiHidden/>
    <w:qFormat/>
    <w:uiPriority w:val="99"/>
    <w:rPr>
      <w:rFonts w:ascii="Times New Roman" w:hAnsi="Times New Roman" w:eastAsia="宋体" w:cs="Times New Roman"/>
      <w:sz w:val="18"/>
      <w:szCs w:val="18"/>
    </w:rPr>
  </w:style>
  <w:style w:type="character" w:customStyle="1" w:styleId="17">
    <w:name w:val="批注框文本 字符"/>
    <w:link w:val="4"/>
    <w:semiHidden/>
    <w:qFormat/>
    <w:uiPriority w:val="99"/>
    <w:rPr>
      <w:rFonts w:eastAsia="宋体"/>
      <w:kern w:val="2"/>
      <w:sz w:val="18"/>
      <w:szCs w:val="18"/>
    </w:rPr>
  </w:style>
  <w:style w:type="paragraph" w:customStyle="1" w:styleId="18">
    <w:name w:val="Body text|1"/>
    <w:basedOn w:val="1"/>
    <w:qFormat/>
    <w:uiPriority w:val="0"/>
    <w:pPr>
      <w:spacing w:line="456"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323</Words>
  <Characters>1847</Characters>
  <Lines>15</Lines>
  <Paragraphs>4</Paragraphs>
  <TotalTime>98</TotalTime>
  <ScaleCrop>false</ScaleCrop>
  <LinksUpToDate>false</LinksUpToDate>
  <CharactersWithSpaces>2166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2020-04-30T05:32:00Z</dcterms:created>
  <dc:creator>胡志雨</dc:creator>
  <cp:lastModifiedBy>管理员</cp:lastModifiedBy>
  <cp:lastPrinted>2021-07-15T05:31:00Z</cp:lastPrinted>
  <dcterms:modified xsi:type="dcterms:W3CDTF">2021-10-22T06:33:09Z</dcterms:modified>
  <dc:title>福州市滨海水务发展有限公司</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084F6EE27CAE4D43B14C8643B2835581</vt:lpwstr>
  </property>
</Properties>
</file>