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Style w:val="12"/>
        </w:rPr>
      </w:pPr>
    </w:p>
    <w:p>
      <w:pPr>
        <w:pStyle w:val="3"/>
        <w:jc w:val="center"/>
        <w:rPr>
          <w:sz w:val="44"/>
          <w:szCs w:val="44"/>
        </w:rPr>
      </w:pPr>
      <w:r>
        <w:rPr>
          <w:sz w:val="44"/>
          <w:szCs w:val="44"/>
        </w:rPr>
        <w:t>福州市水务工程有限责任公司</w:t>
      </w:r>
      <w:r>
        <w:rPr>
          <w:rFonts w:hint="eastAsia"/>
          <w:sz w:val="44"/>
          <w:szCs w:val="44"/>
          <w:lang w:val="en-US" w:eastAsia="zh-CN"/>
        </w:rPr>
        <w:t>不锈钢螺纹管件</w:t>
      </w:r>
      <w:r>
        <w:rPr>
          <w:rFonts w:hint="eastAsia"/>
          <w:sz w:val="44"/>
          <w:szCs w:val="44"/>
        </w:rPr>
        <w:t>采购项目</w:t>
      </w:r>
      <w:bookmarkStart w:id="3" w:name="_GoBack"/>
      <w:bookmarkEnd w:id="3"/>
    </w:p>
    <w:p>
      <w:pPr>
        <w:pStyle w:val="3"/>
        <w:jc w:val="center"/>
      </w:pPr>
      <w:r>
        <w:t>市场询价通知</w:t>
      </w:r>
    </w:p>
    <w:p>
      <w:pPr>
        <w:widowControl/>
        <w:spacing w:line="312" w:lineRule="auto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为了方便下一步福州市水务工程有限责任公司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不锈钢螺纹管件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采购项目的采购工作，福州市水务工程有限责任公司现向国内企业进行采购前的市场询价。</w:t>
      </w:r>
    </w:p>
    <w:p>
      <w:pPr>
        <w:widowControl/>
        <w:spacing w:line="560" w:lineRule="exact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</w:rPr>
        <w:t>一、企业需提供的材料</w:t>
      </w:r>
    </w:p>
    <w:p>
      <w:pPr>
        <w:widowControl/>
        <w:spacing w:line="480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1、企业法人营业执照、税务登记证或三证合一的证书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（正副本复印件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并加盖公章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，原件备查）。</w:t>
      </w:r>
    </w:p>
    <w:p>
      <w:pPr>
        <w:widowControl/>
        <w:spacing w:line="560" w:lineRule="exac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2、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联系人姓名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电话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身份证复印件并加盖公章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（格式自拟）。</w:t>
      </w:r>
    </w:p>
    <w:p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不锈钢螺纹管件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采购项目的市场价（按询价货物一览表产品型号、规格进行报价）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二、询价货物一览表：</w:t>
      </w:r>
    </w:p>
    <w:tbl>
      <w:tblPr>
        <w:tblStyle w:val="9"/>
        <w:tblpPr w:leftFromText="180" w:rightFromText="180" w:vertAnchor="text" w:horzAnchor="page" w:tblpX="887" w:tblpY="149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75"/>
        <w:gridCol w:w="2685"/>
        <w:gridCol w:w="2000"/>
        <w:gridCol w:w="1030"/>
        <w:gridCol w:w="1005"/>
        <w:gridCol w:w="171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480" w:type="dxa"/>
            <w:vAlign w:val="center"/>
          </w:tcPr>
          <w:p>
            <w:pPr>
              <w:pStyle w:val="15"/>
              <w:widowControl w:val="0"/>
              <w:adjustRightInd w:val="0"/>
              <w:spacing w:before="0" w:beforeAutospacing="0" w:after="0" w:afterAutospacing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合同包</w:t>
            </w:r>
          </w:p>
        </w:tc>
        <w:tc>
          <w:tcPr>
            <w:tcW w:w="375" w:type="dxa"/>
            <w:vAlign w:val="center"/>
          </w:tcPr>
          <w:p>
            <w:pPr>
              <w:pStyle w:val="15"/>
              <w:widowControl w:val="0"/>
              <w:adjustRightInd w:val="0"/>
              <w:spacing w:before="0" w:beforeAutospacing="0" w:after="0" w:afterAutospacing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品目号</w:t>
            </w:r>
          </w:p>
        </w:tc>
        <w:tc>
          <w:tcPr>
            <w:tcW w:w="2685" w:type="dxa"/>
          </w:tcPr>
          <w:p>
            <w:pPr>
              <w:pStyle w:val="15"/>
              <w:widowControl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  <w:p>
            <w:pPr>
              <w:pStyle w:val="15"/>
              <w:widowControl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  <w:p>
            <w:pPr>
              <w:pStyle w:val="15"/>
              <w:widowControl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货物名称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规格、型号、材质</w:t>
            </w:r>
          </w:p>
        </w:tc>
        <w:tc>
          <w:tcPr>
            <w:tcW w:w="10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价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人民币）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8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DN15﹡45º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</w:rPr>
              <w:t>报价人填写报价货物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DN20﹡45º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DN25﹡45º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DN32﹡45º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DN40﹡45º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DN50﹡45º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DN15﹡90º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DN20﹡90º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DN25﹡90º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DN32﹡90º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DN40﹡90º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DN50﹡90º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DN20*15*90°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DN25*20*90°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DN32*20*90°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DN32*25*90°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DN40*20*90°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DN40*25*90°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DN40*32*90°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DN50*20*90°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DN50*25*90°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DN50*32*90°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不锈钢内螺纹异径弯头（厚壁）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DN50*40*90°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不锈钢六角外螺纹 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DN15（30408）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900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不锈钢六角外螺纹 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DN20（30408）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33000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不锈钢六角外螺纹 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DN25（30408）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不锈钢六角外螺纹 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DN32（30408）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不锈钢六角外螺纹 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DN40（30408）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900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不锈钢六角外螺纹 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DN50（30408）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460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不锈钢内螺纹直接（厚壁）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DN15（30408）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不锈钢内螺纹直接（厚壁）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DN20（30408）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不锈钢内螺纹直接（厚壁）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DN25（30408）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不锈钢内螺纹直接（厚壁）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DN32（30408）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不锈钢内螺纹直接（厚壁）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DN40（30408）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不锈钢内螺纹直接（厚壁）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DN50（30408）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不锈钢内螺纹异径直接（厚壁）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DN20*15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不锈钢内螺纹异径直接（厚壁）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DN25*20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不锈钢内螺纹异径直接（厚壁）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DN32*20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不锈钢内螺纹异径直接（厚壁）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DN32*25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不锈钢内螺纹异径直接（厚壁）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DN40*20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不锈钢内螺纹异径直接（厚壁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DN40*25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不锈钢内螺纹异径直接（厚壁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DN40*32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不锈钢内螺纹异径直接（厚壁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DN50*20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不锈钢内螺纹异径直接（厚壁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DN50*25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不锈钢内螺纹异径直接（厚壁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DN50*32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不锈钢内螺纹异径直接（厚壁）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DN50*40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不锈钢内螺纹三通（厚壁）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不锈钢内螺纹三通（厚壁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*20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不锈钢内螺纹三通（厚壁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*25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不锈钢内螺纹三通（厚壁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DN32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*32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不锈钢内螺纹三通（厚壁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*40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不锈钢内螺纹三通（厚壁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*50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不锈钢内螺纹异径三通（厚壁）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DN20*15（30408）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不锈钢内螺纹异径三通（厚壁）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DN25*20（30408）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不锈钢内螺纹异径三通（厚壁）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DN32*20（30408）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不锈钢内螺纹异径三通（厚壁）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DN32*25（30408）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不锈钢内螺纹异径三通（厚壁）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DN40*20（30408）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不锈钢内螺纹异径三通（厚壁）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DN40*25（30408）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不锈钢内螺纹异径三通（厚壁）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DN40*32（30408）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不锈钢内螺纹异径三通（厚壁）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DN50*20（30408）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不锈钢内螺纹异径三通（厚壁）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DN50*25（30408）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不锈钢内螺纹异径三通（厚壁）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DN50*32（30408）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不锈钢内螺纹异径三通（厚壁）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DN50*40（30408）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不锈钢螺纹补芯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DN20*15（30408）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18000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不锈钢螺纹补芯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DN25*20（30408）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不锈钢螺纹补芯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DN32*20（30408）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不锈钢螺纹补芯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DN32*25（30408）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不锈钢螺纹补芯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DN40*20（30408）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不锈钢螺纹补芯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DN40*25（30408）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不锈钢螺纹补芯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DN40*32（30408）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不锈钢螺纹补芯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DN50*20（30408）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不锈钢螺纹补芯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DN50*25（30408）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不锈钢螺纹补芯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DN50*32（30408）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不锈钢螺纹补芯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DN50*40（30408）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不锈钢外螺纹堵头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DN15(304)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不锈钢外螺纹堵头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DN20(304)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不锈钢外螺纹堵头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DN25(304)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不锈钢外螺纹堵头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DN32(304)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不锈钢外螺纹堵头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DN40(304)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不锈钢外螺纹堵头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DN50(304)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不锈钢内螺纹堵头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DN15(304)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不锈钢内螺纹堵头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DN20(304)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不锈钢内螺纹堵头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DN25(304)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不锈钢内螺纹堵头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DN32(304)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不锈钢内螺纹堵头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DN40(304)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4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不锈钢内螺纹堵头 （厚壁）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DN50(304)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0290" w:type="dxa"/>
            <w:gridSpan w:val="8"/>
          </w:tcPr>
          <w:p>
            <w:pPr>
              <w:pStyle w:val="5"/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注明：上述所有货物，报价人的报价应包括设备所涉及的有关项目费用进行报价，包括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：货物制造、货物装、卸、运输、税金、劳务、运输、管理、保险、售后服务以及对供货产品抽样送检检测等全部费用，以及所有根据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技术标准及要求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或其他原因应由报价人支付的税金和其他应缴的全部费用。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290" w:type="dxa"/>
            <w:gridSpan w:val="8"/>
          </w:tcPr>
          <w:p>
            <w:pPr>
              <w:ind w:firstLine="3567" w:firstLineChars="1692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技术标准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一、项目概述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 项目简介</w:t>
            </w:r>
          </w:p>
          <w:p>
            <w:pPr>
              <w:pStyle w:val="4"/>
              <w:spacing w:after="0" w:line="360" w:lineRule="auto"/>
              <w:ind w:left="346" w:leftChars="-1" w:hanging="348" w:hangingChars="1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本项目采购的货物主要用于给水安装工程。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1.2 询价货物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不锈钢螺纹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管件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1.3不锈钢螺纹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管件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等规格配水型式为压力流配水，管径为DN15、DN20、DN25、DN32、DN40、DN50相应的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不锈钢螺纹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管件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等，货物名称、数量等见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询价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货物一览表》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人可按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询价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货物一览表》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中的合同包进行报价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人在报价时所提供货物的性能不得低于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市场询价通知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中的技术标准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要求。</w:t>
            </w:r>
          </w:p>
          <w:p>
            <w:pPr>
              <w:pStyle w:val="2"/>
            </w:pP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技术标准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以下条款有特别规定外，《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低压不锈钢螺纹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应按国家标准GB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/T26120-2010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有关规定执行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，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用于本产品制造及加工所有材料、工艺、质量控制和包装至少符合或超过下列标准和规程规范，但不限于以下标准和规程规范。选用的标准和规程规范按目前已颁布的最新版本执行。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规范、规程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GB/T222    钢的成品化学成分允许偏差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GB/T 192   普通螺纹  基本牙型（GB/T 192-2003，ISO68-1：1998，MOD）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GB/T 193   普通螺纹  直径与螺距系列（GB/T 193-2003，ISO261:1998,MOD）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GB/T 196   普通螺纹  基本尺寸（GB/T 196-2003，ISO724:1993,MOD）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GB/T7306.1  55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密封管螺纹  第1部分：圆柱内螺纹与圆锥外螺纹（GB/T7306.1 -2000，1-2000，eqvISO7-1:1994）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GB/T7306.2  55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密封管螺纹  第2部分：圆锥内螺纹与圆锥外螺纹（GB/T7306.2 -2000，1-2000，eqvISO7-1:1994）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GB/T7307     55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º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非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密封管螺纹（GB/T7307-2001，eqvISO228-1:1994）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GB/T 9144  普通螺纹  优选系列（GB/T 9144 -2003，ISO262：1998，MOD）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GB/T 9143 铸钢件渗透检测（GB/T 9143 -2007，ISO4987：1992，LDT）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GB/T16253-1996  承压钢铸件（eqvISO4991:1994）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GB/T 3287  可锻铸铁管路连接件技术条件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管件应采用铸件制造工艺，</w:t>
            </w:r>
            <w:r>
              <w:rPr>
                <w:rFonts w:hint="eastAsia" w:asciiTheme="majorEastAsia" w:hAnsiTheme="majorEastAsia" w:eastAsiaTheme="majorEastAsia"/>
                <w:sz w:val="21"/>
              </w:rPr>
              <w:t>不锈钢材料采用S30408</w:t>
            </w: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奥氏体材料</w:t>
            </w:r>
            <w:r>
              <w:rPr>
                <w:rFonts w:hint="eastAsia" w:asciiTheme="majorEastAsia" w:hAnsiTheme="majorEastAsia" w:eastAsiaTheme="majorEastAsia"/>
                <w:sz w:val="21"/>
              </w:rPr>
              <w:t>，不锈钢代码为：06Cr19Ni10</w:t>
            </w:r>
            <w:r>
              <w:rPr>
                <w:rFonts w:hint="eastAsia" w:asciiTheme="majorEastAsia" w:hAnsiTheme="majorEastAsia" w:eastAsiaTheme="majorEastAsia"/>
                <w:sz w:val="21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钢的成品化学成分允许偏差应符合GB/T3280-2015中的GB/T222要求。铸件应按GB/T16253-1996中3.3.2的规定进行固溶处理。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管件强度应符合表2的规定</w:t>
            </w:r>
          </w:p>
          <w:tbl>
            <w:tblPr>
              <w:tblStyle w:val="10"/>
              <w:tblW w:w="1007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8"/>
              <w:gridCol w:w="2518"/>
              <w:gridCol w:w="2519"/>
              <w:gridCol w:w="251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8" w:type="dxa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公称通径</w:t>
                  </w:r>
                </w:p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DN(mm)</w:t>
                  </w:r>
                </w:p>
              </w:tc>
              <w:tc>
                <w:tcPr>
                  <w:tcW w:w="2518" w:type="dxa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试验压力</w:t>
                  </w:r>
                </w:p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（MPa）</w:t>
                  </w:r>
                </w:p>
              </w:tc>
              <w:tc>
                <w:tcPr>
                  <w:tcW w:w="2519" w:type="dxa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保压时间</w:t>
                  </w:r>
                </w:p>
              </w:tc>
              <w:tc>
                <w:tcPr>
                  <w:tcW w:w="2519" w:type="dxa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强度要求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8" w:type="dxa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  <w:t>≤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50</w:t>
                  </w:r>
                </w:p>
              </w:tc>
              <w:tc>
                <w:tcPr>
                  <w:tcW w:w="2518" w:type="dxa"/>
                  <w:vMerge w:val="restart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1.5PN</w:t>
                  </w:r>
                </w:p>
              </w:tc>
              <w:tc>
                <w:tcPr>
                  <w:tcW w:w="2519" w:type="dxa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cs="宋体"/>
                      <w:vertAlign w:val="baseli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2519" w:type="dxa"/>
                  <w:vMerge w:val="restart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不得渗漏和结构损伤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8" w:type="dxa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cs="宋体"/>
                      <w:vertAlign w:val="baseline"/>
                      <w:lang w:val="en-US" w:eastAsia="zh-CN"/>
                    </w:rPr>
                    <w:t>65</w:t>
                  </w:r>
                </w:p>
              </w:tc>
              <w:tc>
                <w:tcPr>
                  <w:tcW w:w="2518" w:type="dxa"/>
                  <w:vMerge w:val="continue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19" w:type="dxa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vertAlign w:val="baseline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cs="宋体"/>
                      <w:vertAlign w:val="baseline"/>
                      <w:lang w:val="en-US" w:eastAsia="zh-CN"/>
                    </w:rPr>
                    <w:t>60</w:t>
                  </w:r>
                </w:p>
              </w:tc>
              <w:tc>
                <w:tcPr>
                  <w:tcW w:w="2519" w:type="dxa"/>
                  <w:vMerge w:val="continue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5、管件壁厚差应符合GB3287中第1.8条的规定。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4、螺纹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4.1、管件的密封螺纹应符合GB/T7306.1或GB/T7306.2规定。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4.2、管件螺纹端面应倒角，倒角后应无锐边。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Theme="majorEastAsia" w:hAnsiTheme="majorEastAsia" w:eastAsiaTheme="majorEastAsia" w:cstheme="majorEastAsia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4.3、管螺纹表面质量应符合GB/T3287中1.11条的规定，并不应有凹痕、裂缝等缺陷，表面粗糙度Ra不大于125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µ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lang w:val="en-US" w:eastAsia="zh-CN"/>
              </w:rPr>
              <w:t>m。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6、尺寸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管件的尺寸应符合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/T26120-2010中的规定。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7、</w:t>
            </w:r>
            <w:r>
              <w:rPr>
                <w:rFonts w:hint="eastAsia" w:asciiTheme="majorEastAsia" w:hAnsiTheme="majorEastAsia" w:eastAsiaTheme="majorEastAsia"/>
                <w:sz w:val="21"/>
              </w:rPr>
              <w:t>管件在出厂检验应加强以下项目：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7.1、管件的内外表面应光滑，无裂纹、有损害的刮痕、毛刺、砂眼或其他缺陷。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7.2、管件的所有螺纹部分应完好，无凹痕、缺口或其他缺陷。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7.3、螺纹轴线应精确，测定轴线位置的角度偏差不超过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±</w:t>
            </w:r>
            <w:r>
              <w:rPr>
                <w:rFonts w:hint="eastAsia" w:asciiTheme="majorEastAsia" w:hAnsiTheme="majorEastAsia" w:eastAsiaTheme="majorEastAsia"/>
                <w:sz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lang w:val="en-US" w:eastAsia="zh-CN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Theme="majorEastAsia" w:hAnsiTheme="majorEastAsia" w:eastAsiaTheme="majorEastAsia" w:cstheme="majorEastAsia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lang w:val="en-US" w:eastAsia="zh-CN"/>
              </w:rPr>
              <w:t>7.4、用渗透探伤，以检测铸件表面的缺陷。被检测表面的缺陷程度和验收标准，按GB/T9443的规定执行。当进行检测时，每热处理批次应取其中一个管件进行试验。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标志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管件应标有商标、材料代号或缩写及螺纹的尺寸代号。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8、标记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⑴</w:t>
            </w:r>
            <w:r>
              <w:rPr>
                <w:rFonts w:hint="eastAsia" w:ascii="宋体" w:hAnsi="宋体" w:cs="宋体"/>
                <w:lang w:val="en-US" w:eastAsia="zh-CN"/>
              </w:rPr>
              <w:t>商标；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⑵</w:t>
            </w:r>
            <w:r>
              <w:rPr>
                <w:rFonts w:hint="eastAsia" w:ascii="宋体" w:hAnsi="宋体" w:cs="宋体"/>
                <w:lang w:val="en-US" w:eastAsia="zh-CN"/>
              </w:rPr>
              <w:t>制造产名、产地；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⑶</w:t>
            </w:r>
            <w:r>
              <w:rPr>
                <w:rFonts w:hint="eastAsia" w:ascii="宋体" w:hAnsi="宋体" w:cs="宋体"/>
                <w:lang w:val="en-US" w:eastAsia="zh-CN"/>
              </w:rPr>
              <w:t>产品名称；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⑷</w:t>
            </w:r>
            <w:r>
              <w:rPr>
                <w:rFonts w:hint="eastAsia" w:ascii="宋体" w:hAnsi="宋体" w:cs="宋体"/>
                <w:lang w:val="en-US" w:eastAsia="zh-CN"/>
              </w:rPr>
              <w:t>产品代号、规格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⑸</w:t>
            </w:r>
            <w:r>
              <w:rPr>
                <w:rFonts w:hint="eastAsia" w:ascii="宋体" w:hAnsi="宋体" w:cs="宋体"/>
                <w:lang w:val="en-US" w:eastAsia="zh-CN"/>
              </w:rPr>
              <w:t>数量；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⑹</w:t>
            </w:r>
            <w:r>
              <w:rPr>
                <w:rFonts w:hint="eastAsia" w:ascii="宋体" w:hAnsi="宋体" w:cs="宋体"/>
                <w:lang w:val="en-US" w:eastAsia="zh-CN"/>
              </w:rPr>
              <w:t>毛重、净重；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⑺</w:t>
            </w:r>
            <w:r>
              <w:rPr>
                <w:rFonts w:hint="eastAsia" w:ascii="宋体" w:hAnsi="宋体" w:cs="宋体"/>
                <w:lang w:val="en-US" w:eastAsia="zh-CN"/>
              </w:rPr>
              <w:t>体积；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⑻</w:t>
            </w:r>
            <w:r>
              <w:rPr>
                <w:rFonts w:hint="eastAsia" w:ascii="宋体" w:hAnsi="宋体" w:cs="宋体"/>
                <w:lang w:val="en-US" w:eastAsia="zh-CN"/>
              </w:rPr>
              <w:t>出厂日期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包装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外包装应牢固、整洁、不破损，内包装应用纸箱包装，包装不得破损，并附有合格证，证上有检验员签章或代号、检验日期。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运输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产品在运输中避免冲击、挤压、雨淋、受潮及化学品腐蚀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贮存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贮存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必须放置于离地200mm以上，通风良好、干燥的室内，并不得与有腐蚀性的物品共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贮存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一室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bookmarkStart w:id="0" w:name="_Toc12939"/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.质量保证期内的服务</w:t>
            </w:r>
            <w:bookmarkEnd w:id="0"/>
          </w:p>
          <w:p>
            <w:pPr>
              <w:tabs>
                <w:tab w:val="left" w:pos="640"/>
              </w:tabs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货物质保期为贰年。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对由于产品质量问题造成的自然损坏，供货人将提供现场服务，免费维修更换损坏的产品。由于采购方人为原因或不可抗原因造成的产品损坏，供货人有义务对损坏的产品作有偿更换。</w:t>
            </w:r>
          </w:p>
          <w:p>
            <w:pPr>
              <w:snapToGrid w:val="0"/>
              <w:spacing w:line="360" w:lineRule="auto"/>
              <w:outlineLvl w:val="1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bookmarkStart w:id="1" w:name="_Toc22091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.交货期及交货地点</w:t>
            </w:r>
            <w:bookmarkEnd w:id="1"/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bookmarkStart w:id="2" w:name="_Toc18564"/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交货期：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采购人将每次采购计划提前五个日历日以书面形式通知成交人，成交人收到采购计划后需在当日给予确认回复，如供方未回复的，视为已收到采购人的采购计划，成交人按采购人提供的货物规格、数量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五个日历日内到货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，延期到货按违约处理。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2.交货地点：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成交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人负责送达采购人仓库或指定地点（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福州市地区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）。</w:t>
            </w:r>
          </w:p>
          <w:p>
            <w:pPr>
              <w:snapToGrid w:val="0"/>
              <w:spacing w:line="360" w:lineRule="auto"/>
              <w:outlineLvl w:val="1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.付款条件及方式</w:t>
            </w:r>
            <w:bookmarkEnd w:id="2"/>
          </w:p>
          <w:p>
            <w:pPr>
              <w:snapToGrid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供方在签订采购合同前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zh-CN"/>
              </w:rPr>
              <w:t>三日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向需方缴交合同总金额的 5 %作为履约保证金，双方在本合同履行最后一批次货物供货完成且验收合格后，履约保证金转为质保金（如供方提供银行担保的见索即付的独立保函的，需方在支付供方第一批货款时应扣留合同总金额的5 %作为质保金），质保金待货物质保期满后产品无质量问题且无违约索赔情况下，质保金无息全额退还供方。质保期届满后三年内供方未向需方申请退还质保金的，已付款视为结算款，即供方自愿放弃质保金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2）供方每批次货物经需方确认到货数量及相关管理部门验收合格后（须按本合同验收条款约定的程序与方式完成验收，以及包括供方提供该批次货物产品出厂检验证书、合格证书等需方要求的货物技术资料），供方开具本批次所供货物的含税合规的增值税专用发票（包含税务机关代开），需方在收到发票并确认无误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个工作日内给予付款。</w:t>
            </w:r>
          </w:p>
        </w:tc>
      </w:tr>
    </w:tbl>
    <w:p>
      <w:pPr>
        <w:widowControl/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</w:rPr>
        <w:t>三、递交的方式及时间、地点：</w:t>
      </w:r>
    </w:p>
    <w:p>
      <w:pPr>
        <w:widowControl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材料密封递交，送达截止时间：所有材料应于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公告发布之日起5个工作日内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送达（如材料以快件形式递交，应按规定截止时间前寄达我司），公司具体地址：福州市鼓楼区杨桥西路12号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接收人：高先生联系电话：0591-83778612 </w:t>
      </w:r>
    </w:p>
    <w:p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</w:p>
    <w:p>
      <w:pPr>
        <w:widowControl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福州市水务工程有限责任公司</w:t>
      </w:r>
    </w:p>
    <w:p>
      <w:pPr>
        <w:spacing w:line="360" w:lineRule="auto"/>
        <w:ind w:firstLine="5565" w:firstLineChars="265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2021年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</w:p>
    <w:p>
      <w:pPr>
        <w:ind w:firstLine="4095" w:firstLineChars="195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73A4D3"/>
    <w:multiLevelType w:val="singleLevel"/>
    <w:tmpl w:val="E973A4D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1DC15BBF"/>
    <w:multiLevelType w:val="singleLevel"/>
    <w:tmpl w:val="1DC15BBF"/>
    <w:lvl w:ilvl="0" w:tentative="0">
      <w:start w:val="9"/>
      <w:numFmt w:val="decimal"/>
      <w:suff w:val="nothing"/>
      <w:lvlText w:val="%1、"/>
      <w:lvlJc w:val="left"/>
    </w:lvl>
  </w:abstractNum>
  <w:abstractNum w:abstractNumId="2">
    <w:nsid w:val="45C146B8"/>
    <w:multiLevelType w:val="singleLevel"/>
    <w:tmpl w:val="45C146B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F6"/>
    <w:rsid w:val="00010149"/>
    <w:rsid w:val="00023359"/>
    <w:rsid w:val="000B5D53"/>
    <w:rsid w:val="00196F7B"/>
    <w:rsid w:val="001C77BD"/>
    <w:rsid w:val="00201C63"/>
    <w:rsid w:val="00243E3D"/>
    <w:rsid w:val="00280E6B"/>
    <w:rsid w:val="002A2833"/>
    <w:rsid w:val="003074B5"/>
    <w:rsid w:val="003D041E"/>
    <w:rsid w:val="003F0461"/>
    <w:rsid w:val="00436CCB"/>
    <w:rsid w:val="004B12DC"/>
    <w:rsid w:val="004E7C0A"/>
    <w:rsid w:val="004F7F26"/>
    <w:rsid w:val="00504E70"/>
    <w:rsid w:val="00526A44"/>
    <w:rsid w:val="005D7583"/>
    <w:rsid w:val="006070EA"/>
    <w:rsid w:val="0065763A"/>
    <w:rsid w:val="007A2CFA"/>
    <w:rsid w:val="008616FE"/>
    <w:rsid w:val="0088638E"/>
    <w:rsid w:val="008C6416"/>
    <w:rsid w:val="00A85A1C"/>
    <w:rsid w:val="00C36C46"/>
    <w:rsid w:val="00CD5159"/>
    <w:rsid w:val="00D00171"/>
    <w:rsid w:val="00D97A38"/>
    <w:rsid w:val="00DA5C06"/>
    <w:rsid w:val="00DA60F7"/>
    <w:rsid w:val="00DB4AE7"/>
    <w:rsid w:val="00DD3CF6"/>
    <w:rsid w:val="00DE32AC"/>
    <w:rsid w:val="00E81777"/>
    <w:rsid w:val="00E87CA3"/>
    <w:rsid w:val="00EF4C38"/>
    <w:rsid w:val="00F7652B"/>
    <w:rsid w:val="00F9234D"/>
    <w:rsid w:val="00FF3E92"/>
    <w:rsid w:val="01742C8D"/>
    <w:rsid w:val="026411B8"/>
    <w:rsid w:val="0AB34C0D"/>
    <w:rsid w:val="14D22489"/>
    <w:rsid w:val="198A01EC"/>
    <w:rsid w:val="19AE5765"/>
    <w:rsid w:val="1A2F5325"/>
    <w:rsid w:val="1D0971A6"/>
    <w:rsid w:val="23CC4E40"/>
    <w:rsid w:val="2A827D74"/>
    <w:rsid w:val="2CAB57B9"/>
    <w:rsid w:val="56227292"/>
    <w:rsid w:val="5DDC47A3"/>
    <w:rsid w:val="69E66CAE"/>
    <w:rsid w:val="6ED22F56"/>
    <w:rsid w:val="7D2B6D5C"/>
    <w:rsid w:val="7DB8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28"/>
      <w:szCs w:val="20"/>
    </w:rPr>
  </w:style>
  <w:style w:type="paragraph" w:styleId="4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paragraph" w:customStyle="1" w:styleId="15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16">
    <w:name w:val="纯文本 Char"/>
    <w:basedOn w:val="11"/>
    <w:link w:val="5"/>
    <w:qFormat/>
    <w:locked/>
    <w:uiPriority w:val="0"/>
    <w:rPr>
      <w:rFonts w:ascii="宋体" w:hAnsi="Courier New"/>
    </w:rPr>
  </w:style>
  <w:style w:type="character" w:customStyle="1" w:styleId="17">
    <w:name w:val="纯文本 Char1"/>
    <w:basedOn w:val="11"/>
    <w:link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日期 Char"/>
    <w:basedOn w:val="11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正文文本缩进 Char"/>
    <w:basedOn w:val="11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标题 1 Char"/>
    <w:basedOn w:val="11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7C04C-35F6-47F0-92B6-7BF85C61E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608</Words>
  <Characters>3467</Characters>
  <Lines>28</Lines>
  <Paragraphs>8</Paragraphs>
  <TotalTime>16</TotalTime>
  <ScaleCrop>false</ScaleCrop>
  <LinksUpToDate>false</LinksUpToDate>
  <CharactersWithSpaces>4067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2018-10-09T01:20:00Z</dcterms:created>
  <dc:creator>ggh</dc:creator>
  <cp:lastModifiedBy>ggh</cp:lastModifiedBy>
  <dcterms:modified xsi:type="dcterms:W3CDTF">2021-12-21T03:09:41Z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