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b/>
          <w:bCs/>
          <w:sz w:val="48"/>
          <w:szCs w:val="48"/>
        </w:rPr>
      </w:pPr>
      <w:r>
        <w:rPr>
          <w:rFonts w:hint="eastAsia" w:ascii="宋体" w:hAnsi="宋体" w:cs="宋体"/>
          <w:b/>
          <w:bCs/>
          <w:sz w:val="44"/>
          <w:szCs w:val="44"/>
        </w:rPr>
        <w:t xml:space="preserve"> </w:t>
      </w:r>
      <w:r>
        <w:rPr>
          <w:rFonts w:hint="eastAsia" w:ascii="宋体" w:hAnsi="宋体" w:cs="宋体"/>
          <w:b/>
          <w:bCs/>
          <w:sz w:val="48"/>
          <w:szCs w:val="48"/>
        </w:rPr>
        <w:t>福州市水务工程有限责任公司一体化</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宋体" w:hAnsi="宋体" w:cs="宋体"/>
          <w:b/>
          <w:bCs/>
          <w:sz w:val="48"/>
          <w:szCs w:val="48"/>
        </w:rPr>
      </w:pPr>
      <w:r>
        <w:rPr>
          <w:rFonts w:hint="eastAsia" w:ascii="宋体" w:hAnsi="宋体" w:cs="宋体"/>
          <w:b/>
          <w:bCs/>
          <w:sz w:val="48"/>
          <w:szCs w:val="48"/>
        </w:rPr>
        <w:t>变频调速增压设备及不锈钢水箱</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b/>
          <w:bCs/>
          <w:sz w:val="48"/>
          <w:szCs w:val="48"/>
          <w:lang w:val="en-US" w:eastAsia="zh-CN"/>
        </w:rPr>
      </w:pPr>
      <w:r>
        <w:rPr>
          <w:rFonts w:hint="eastAsia" w:ascii="宋体" w:hAnsi="宋体" w:cs="宋体"/>
          <w:b/>
          <w:bCs/>
          <w:sz w:val="48"/>
          <w:szCs w:val="48"/>
        </w:rPr>
        <w:t>市场询价公告</w:t>
      </w:r>
    </w:p>
    <w:p>
      <w:pPr>
        <w:pStyle w:val="9"/>
        <w:rPr>
          <w:rFonts w:hint="eastAsia"/>
          <w:lang w:val="en-US" w:eastAsia="zh-CN"/>
        </w:rPr>
      </w:pPr>
    </w:p>
    <w:p>
      <w:pPr>
        <w:keepNext w:val="0"/>
        <w:keepLines w:val="0"/>
        <w:pageBreakBefore w:val="0"/>
        <w:kinsoku/>
        <w:wordWrap/>
        <w:overflowPunct/>
        <w:topLinePunct w:val="0"/>
        <w:bidi w:val="0"/>
        <w:snapToGrid w:val="0"/>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根据福州市水务工程有限责任公司一体化变频调速增压设备及不锈钢水箱设备用量需求，福州市水务工程有限责任公司现上网征集合格的生产企业</w:t>
      </w:r>
      <w:r>
        <w:rPr>
          <w:rFonts w:hint="eastAsia" w:asciiTheme="minorEastAsia" w:hAnsiTheme="minorEastAsia" w:eastAsiaTheme="minorEastAsia" w:cstheme="minorEastAsia"/>
          <w:color w:val="auto"/>
          <w:sz w:val="28"/>
          <w:szCs w:val="28"/>
        </w:rPr>
        <w:t>进行采购前的市场询价</w:t>
      </w:r>
      <w:r>
        <w:rPr>
          <w:rFonts w:hint="eastAsia" w:asciiTheme="minorEastAsia" w:hAnsiTheme="minorEastAsia" w:eastAsiaTheme="minorEastAsia" w:cstheme="minorEastAsia"/>
          <w:color w:val="auto"/>
          <w:sz w:val="28"/>
          <w:szCs w:val="28"/>
          <w:lang w:eastAsia="zh-CN"/>
        </w:rPr>
        <w:t>。</w:t>
      </w:r>
    </w:p>
    <w:p>
      <w:pPr>
        <w:keepNext w:val="0"/>
        <w:keepLines w:val="0"/>
        <w:pageBreakBefore w:val="0"/>
        <w:widowControl/>
        <w:kinsoku/>
        <w:wordWrap/>
        <w:overflowPunct/>
        <w:topLinePunct w:val="0"/>
        <w:bidi w:val="0"/>
        <w:spacing w:line="560" w:lineRule="exac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一、企业需提供的材料</w:t>
      </w:r>
    </w:p>
    <w:p>
      <w:pPr>
        <w:keepNext w:val="0"/>
        <w:keepLines w:val="0"/>
        <w:pageBreakBefore w:val="0"/>
        <w:kinsoku/>
        <w:wordWrap/>
        <w:overflowPunct/>
        <w:topLinePunct w:val="0"/>
        <w:bidi w:val="0"/>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1、企业法人营业执照、税务登记证或三证合一的证书（正副本复印件，原件备查）。</w:t>
      </w:r>
    </w:p>
    <w:p>
      <w:pPr>
        <w:keepNext w:val="0"/>
        <w:keepLines w:val="0"/>
        <w:pageBreakBefore w:val="0"/>
        <w:kinsoku/>
        <w:wordWrap/>
        <w:overflowPunct/>
        <w:topLinePunct w:val="0"/>
        <w:bidi w:val="0"/>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2、联系人姓名，电话（格式自拟）。</w:t>
      </w:r>
    </w:p>
    <w:p>
      <w:pPr>
        <w:keepNext w:val="0"/>
        <w:keepLines w:val="0"/>
        <w:pageBreakBefore w:val="0"/>
        <w:kinsoku/>
        <w:wordWrap/>
        <w:overflowPunct/>
        <w:topLinePunct w:val="0"/>
        <w:bidi w:val="0"/>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3、一体化变频调速增压设备及不锈钢水箱</w:t>
      </w:r>
      <w:r>
        <w:rPr>
          <w:rFonts w:hint="eastAsia" w:asciiTheme="minorEastAsia" w:hAnsiTheme="minorEastAsia" w:eastAsiaTheme="minorEastAsia" w:cstheme="minorEastAsia"/>
          <w:sz w:val="28"/>
          <w:szCs w:val="28"/>
          <w:lang w:val="en-US" w:eastAsia="zh-CN"/>
        </w:rPr>
        <w:t>设备</w:t>
      </w:r>
      <w:r>
        <w:rPr>
          <w:rFonts w:hint="eastAsia" w:asciiTheme="minorEastAsia" w:hAnsiTheme="minorEastAsia" w:eastAsiaTheme="minorEastAsia" w:cstheme="minorEastAsia"/>
          <w:sz w:val="28"/>
          <w:szCs w:val="28"/>
        </w:rPr>
        <w:t>采购项目的市场价（按询价货物一览表产品型号、规格进行报价）</w:t>
      </w:r>
    </w:p>
    <w:p>
      <w:pPr>
        <w:keepNext w:val="0"/>
        <w:keepLines w:val="0"/>
        <w:pageBreakBefore w:val="0"/>
        <w:kinsoku/>
        <w:wordWrap/>
        <w:overflowPunct/>
        <w:topLinePunct w:val="0"/>
        <w:bidi w:val="0"/>
        <w:snapToGrid w:val="0"/>
        <w:spacing w:line="560" w:lineRule="exact"/>
        <w:rPr>
          <w:rFonts w:hint="eastAsia" w:asciiTheme="minorEastAsia" w:hAnsiTheme="minorEastAsia" w:eastAsiaTheme="minorEastAsia" w:cstheme="minorEastAsia"/>
          <w:b/>
          <w:bCs/>
          <w:sz w:val="28"/>
          <w:szCs w:val="28"/>
        </w:rPr>
      </w:pPr>
      <w:r>
        <w:rPr>
          <w:rStyle w:val="8"/>
          <w:rFonts w:hint="eastAsia" w:asciiTheme="minorEastAsia" w:hAnsiTheme="minorEastAsia" w:eastAsiaTheme="minorEastAsia" w:cstheme="minorEastAsia"/>
          <w:sz w:val="28"/>
          <w:szCs w:val="28"/>
          <w:lang w:val="en-US" w:eastAsia="zh-CN"/>
        </w:rPr>
        <w:t>二</w:t>
      </w:r>
      <w:r>
        <w:rPr>
          <w:rStyle w:val="8"/>
          <w:rFonts w:hint="eastAsia" w:asciiTheme="minorEastAsia" w:hAnsiTheme="minorEastAsia" w:eastAsiaTheme="minorEastAsia" w:cstheme="minorEastAsia"/>
          <w:sz w:val="28"/>
          <w:szCs w:val="28"/>
        </w:rPr>
        <w:t>、询价货物一览表</w:t>
      </w:r>
    </w:p>
    <w:tbl>
      <w:tblPr>
        <w:tblStyle w:val="6"/>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09"/>
        <w:gridCol w:w="1186"/>
        <w:gridCol w:w="1691"/>
        <w:gridCol w:w="641"/>
        <w:gridCol w:w="641"/>
        <w:gridCol w:w="1493"/>
        <w:gridCol w:w="174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w:t>
            </w:r>
          </w:p>
        </w:tc>
        <w:tc>
          <w:tcPr>
            <w:tcW w:w="409" w:type="dxa"/>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186" w:type="dxa"/>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产品名称</w:t>
            </w:r>
          </w:p>
        </w:tc>
        <w:tc>
          <w:tcPr>
            <w:tcW w:w="1691" w:type="dxa"/>
          </w:tcPr>
          <w:p>
            <w:pPr>
              <w:keepNext w:val="0"/>
              <w:keepLines w:val="0"/>
              <w:pageBreakBefore w:val="0"/>
              <w:kinsoku/>
              <w:wordWrap/>
              <w:overflowPunct/>
              <w:topLinePunct w:val="0"/>
              <w:bidi w:val="0"/>
              <w:snapToGrid w:val="0"/>
              <w:spacing w:line="560" w:lineRule="exact"/>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bidi w:val="0"/>
              <w:snapToGrid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规格、型号</w:t>
            </w:r>
          </w:p>
        </w:tc>
        <w:tc>
          <w:tcPr>
            <w:tcW w:w="641" w:type="dxa"/>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641" w:type="dxa"/>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1493" w:type="dxa"/>
          </w:tcPr>
          <w:p>
            <w:pPr>
              <w:keepNext w:val="0"/>
              <w:keepLines w:val="0"/>
              <w:pageBreakBefore w:val="0"/>
              <w:kinsoku/>
              <w:wordWrap/>
              <w:overflowPunct/>
              <w:topLinePunct w:val="0"/>
              <w:bidi w:val="0"/>
              <w:snapToGrid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单价</w:t>
            </w:r>
          </w:p>
          <w:p>
            <w:pPr>
              <w:keepNext w:val="0"/>
              <w:keepLines w:val="0"/>
              <w:pageBreakBefore w:val="0"/>
              <w:kinsoku/>
              <w:wordWrap/>
              <w:overflowPunct/>
              <w:topLinePunct w:val="0"/>
              <w:bidi w:val="0"/>
              <w:snapToGrid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（套/人民币）</w:t>
            </w:r>
          </w:p>
        </w:tc>
        <w:tc>
          <w:tcPr>
            <w:tcW w:w="1745" w:type="dxa"/>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最高限价</w:t>
            </w:r>
          </w:p>
          <w:p>
            <w:pPr>
              <w:keepNext w:val="0"/>
              <w:keepLines w:val="0"/>
              <w:pageBreakBefore w:val="0"/>
              <w:kinsoku/>
              <w:wordWrap/>
              <w:overflowPunct/>
              <w:topLinePunct w:val="0"/>
              <w:bidi w:val="0"/>
              <w:snapToGrid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（套/人民币）</w:t>
            </w:r>
          </w:p>
        </w:tc>
        <w:tc>
          <w:tcPr>
            <w:tcW w:w="1763" w:type="dxa"/>
            <w:vAlign w:val="center"/>
          </w:tcPr>
          <w:p>
            <w:pPr>
              <w:keepNext w:val="0"/>
              <w:keepLines w:val="0"/>
              <w:pageBreakBefore w:val="0"/>
              <w:kinsoku/>
              <w:wordWrap/>
              <w:overflowPunct/>
              <w:topLinePunct w:val="0"/>
              <w:bidi w:val="0"/>
              <w:snapToGrid w:val="0"/>
              <w:spacing w:line="56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780" w:type="dxa"/>
            <w:vMerge w:val="restart"/>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409" w:type="dxa"/>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186" w:type="dxa"/>
            <w:vAlign w:val="center"/>
          </w:tcPr>
          <w:p>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一体化变频调速增压</w:t>
            </w:r>
          </w:p>
        </w:tc>
        <w:tc>
          <w:tcPr>
            <w:tcW w:w="1691"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Q总=</w:t>
            </w:r>
            <w:r>
              <w:rPr>
                <w:rFonts w:hint="eastAsia" w:asciiTheme="minorEastAsia" w:hAnsiTheme="minorEastAsia" w:eastAsiaTheme="minorEastAsia" w:cstheme="minorEastAsia"/>
                <w:color w:val="000000"/>
                <w:sz w:val="28"/>
                <w:szCs w:val="28"/>
                <w:lang w:val="en-US" w:eastAsia="zh-CN"/>
              </w:rPr>
              <w:t>80</w:t>
            </w:r>
            <w:r>
              <w:rPr>
                <w:rFonts w:hint="eastAsia" w:asciiTheme="minorEastAsia" w:hAnsiTheme="minorEastAsia" w:eastAsiaTheme="minorEastAsia" w:cstheme="minorEastAsia"/>
                <w:color w:val="000000"/>
                <w:sz w:val="28"/>
                <w:szCs w:val="28"/>
              </w:rPr>
              <w:t>m³/h，H=</w:t>
            </w:r>
            <w:r>
              <w:rPr>
                <w:rFonts w:hint="eastAsia" w:asciiTheme="minorEastAsia" w:hAnsiTheme="minorEastAsia" w:eastAsiaTheme="minorEastAsia" w:cstheme="minorEastAsia"/>
                <w:color w:val="000000"/>
                <w:sz w:val="28"/>
                <w:szCs w:val="28"/>
                <w:lang w:val="en-US" w:eastAsia="zh-CN"/>
              </w:rPr>
              <w:t>90</w:t>
            </w:r>
            <w:r>
              <w:rPr>
                <w:rFonts w:hint="eastAsia" w:asciiTheme="minorEastAsia" w:hAnsiTheme="minorEastAsia" w:eastAsiaTheme="minorEastAsia" w:cstheme="minorEastAsia"/>
                <w:color w:val="000000"/>
                <w:sz w:val="28"/>
                <w:szCs w:val="28"/>
              </w:rPr>
              <w:t>m    （采用三用一备）         N总=</w:t>
            </w:r>
            <w:r>
              <w:rPr>
                <w:rFonts w:hint="eastAsia" w:asciiTheme="minorEastAsia" w:hAnsiTheme="minorEastAsia" w:eastAsiaTheme="minorEastAsia" w:cstheme="minorEastAsia"/>
                <w:color w:val="000000"/>
                <w:sz w:val="28"/>
                <w:szCs w:val="28"/>
                <w:lang w:val="en-US" w:eastAsia="zh-CN"/>
              </w:rPr>
              <w:t>45</w:t>
            </w:r>
            <w:r>
              <w:rPr>
                <w:rFonts w:hint="eastAsia" w:asciiTheme="minorEastAsia" w:hAnsiTheme="minorEastAsia" w:eastAsiaTheme="minorEastAsia" w:cstheme="minorEastAsia"/>
                <w:color w:val="000000"/>
                <w:sz w:val="28"/>
                <w:szCs w:val="28"/>
              </w:rPr>
              <w:t>KW</w:t>
            </w:r>
          </w:p>
        </w:tc>
        <w:tc>
          <w:tcPr>
            <w:tcW w:w="641"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套</w:t>
            </w:r>
          </w:p>
        </w:tc>
        <w:tc>
          <w:tcPr>
            <w:tcW w:w="641" w:type="dxa"/>
            <w:vAlign w:val="center"/>
          </w:tcPr>
          <w:p>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1493" w:type="dxa"/>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p>
        </w:tc>
        <w:tc>
          <w:tcPr>
            <w:tcW w:w="1745" w:type="dxa"/>
            <w:vAlign w:val="center"/>
          </w:tcPr>
          <w:p>
            <w:pPr>
              <w:keepNext w:val="0"/>
              <w:keepLines w:val="0"/>
              <w:pageBreakBefore w:val="0"/>
              <w:widowControl/>
              <w:kinsoku/>
              <w:wordWrap/>
              <w:overflowPunct/>
              <w:topLinePunct w:val="0"/>
              <w:bidi w:val="0"/>
              <w:spacing w:line="560" w:lineRule="exact"/>
              <w:jc w:val="center"/>
              <w:textAlignment w:val="center"/>
              <w:rPr>
                <w:rFonts w:hint="eastAsia" w:asciiTheme="minorEastAsia" w:hAnsiTheme="minorEastAsia" w:eastAsiaTheme="minorEastAsia" w:cstheme="minorEastAsia"/>
                <w:color w:val="000000"/>
                <w:kern w:val="0"/>
                <w:sz w:val="28"/>
                <w:szCs w:val="28"/>
              </w:rPr>
            </w:pPr>
          </w:p>
        </w:tc>
        <w:tc>
          <w:tcPr>
            <w:tcW w:w="1763" w:type="dxa"/>
            <w:vMerge w:val="restart"/>
            <w:vAlign w:val="center"/>
          </w:tcPr>
          <w:p>
            <w:pPr>
              <w:keepNext w:val="0"/>
              <w:keepLines w:val="0"/>
              <w:pageBreakBefore w:val="0"/>
              <w:kinsoku/>
              <w:wordWrap/>
              <w:overflowPunct/>
              <w:topLinePunct w:val="0"/>
              <w:bidi w:val="0"/>
              <w:snapToGrid w:val="0"/>
              <w:spacing w:line="5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报价人填写报价货物详细品牌，报价人提供的货物品牌需符合</w:t>
            </w:r>
            <w:r>
              <w:rPr>
                <w:rStyle w:val="8"/>
                <w:rFonts w:hint="eastAsia" w:asciiTheme="minorEastAsia" w:hAnsiTheme="minorEastAsia" w:eastAsiaTheme="minorEastAsia" w:cstheme="minorEastAsia"/>
                <w:b w:val="0"/>
                <w:sz w:val="28"/>
                <w:szCs w:val="28"/>
              </w:rPr>
              <w:t>第三章技术标准要求的品牌。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80" w:type="dxa"/>
            <w:vMerge w:val="continue"/>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p>
        </w:tc>
        <w:tc>
          <w:tcPr>
            <w:tcW w:w="409" w:type="dxa"/>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186" w:type="dxa"/>
            <w:vAlign w:val="center"/>
          </w:tcPr>
          <w:p>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不锈钢成品水箱（含基础）</w:t>
            </w:r>
          </w:p>
        </w:tc>
        <w:tc>
          <w:tcPr>
            <w:tcW w:w="1691"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8</w:t>
            </w:r>
            <w:r>
              <w:rPr>
                <w:rFonts w:hint="eastAsia" w:asciiTheme="minorEastAsia" w:hAnsiTheme="minorEastAsia" w:eastAsiaTheme="minorEastAsia" w:cstheme="minorEastAsia"/>
                <w:color w:val="000000"/>
                <w:sz w:val="28"/>
                <w:szCs w:val="28"/>
              </w:rPr>
              <w:t>.0m*</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.0m*</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m</w:t>
            </w:r>
            <w:r>
              <w:rPr>
                <w:rFonts w:hint="eastAsia" w:asciiTheme="minorEastAsia" w:hAnsiTheme="minorEastAsia" w:eastAsiaTheme="minorEastAsia" w:cstheme="minorEastAsia"/>
                <w:color w:val="000000"/>
                <w:sz w:val="28"/>
                <w:szCs w:val="28"/>
                <w:lang w:eastAsia="zh-CN"/>
              </w:rPr>
              <w:t>（含水泵箱</w:t>
            </w:r>
            <w:r>
              <w:rPr>
                <w:rFonts w:hint="eastAsia" w:asciiTheme="minorEastAsia" w:hAnsiTheme="minorEastAsia" w:eastAsiaTheme="minorEastAsia" w:cstheme="minorEastAsia"/>
                <w:color w:val="000000"/>
                <w:sz w:val="28"/>
                <w:szCs w:val="28"/>
                <w:lang w:val="en-US" w:eastAsia="zh-CN"/>
              </w:rPr>
              <w:t>4×1×3</w:t>
            </w:r>
            <w:r>
              <w:rPr>
                <w:rFonts w:hint="eastAsia" w:asciiTheme="minorEastAsia" w:hAnsiTheme="minorEastAsia" w:eastAsiaTheme="minorEastAsia" w:cstheme="minorEastAsia"/>
                <w:color w:val="000000"/>
                <w:sz w:val="28"/>
                <w:szCs w:val="28"/>
                <w:lang w:eastAsia="zh-CN"/>
              </w:rPr>
              <w:t>）</w:t>
            </w:r>
          </w:p>
        </w:tc>
        <w:tc>
          <w:tcPr>
            <w:tcW w:w="641" w:type="dxa"/>
            <w:vAlign w:val="center"/>
          </w:tcPr>
          <w:p>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套</w:t>
            </w:r>
          </w:p>
        </w:tc>
        <w:tc>
          <w:tcPr>
            <w:tcW w:w="641" w:type="dxa"/>
            <w:vAlign w:val="center"/>
          </w:tcPr>
          <w:p>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1493" w:type="dxa"/>
            <w:vAlign w:val="center"/>
          </w:tcPr>
          <w:p>
            <w:pPr>
              <w:keepNext w:val="0"/>
              <w:keepLines w:val="0"/>
              <w:pageBreakBefore w:val="0"/>
              <w:kinsoku/>
              <w:wordWrap/>
              <w:overflowPunct/>
              <w:topLinePunct w:val="0"/>
              <w:bidi w:val="0"/>
              <w:snapToGrid w:val="0"/>
              <w:spacing w:line="560" w:lineRule="exact"/>
              <w:jc w:val="center"/>
              <w:rPr>
                <w:rFonts w:hint="eastAsia" w:asciiTheme="minorEastAsia" w:hAnsiTheme="minorEastAsia" w:eastAsiaTheme="minorEastAsia" w:cstheme="minorEastAsia"/>
                <w:sz w:val="28"/>
                <w:szCs w:val="28"/>
              </w:rPr>
            </w:pPr>
          </w:p>
        </w:tc>
        <w:tc>
          <w:tcPr>
            <w:tcW w:w="1745" w:type="dxa"/>
            <w:vAlign w:val="center"/>
          </w:tcPr>
          <w:p>
            <w:pPr>
              <w:keepNext w:val="0"/>
              <w:keepLines w:val="0"/>
              <w:pageBreakBefore w:val="0"/>
              <w:widowControl/>
              <w:kinsoku/>
              <w:wordWrap/>
              <w:overflowPunct/>
              <w:topLinePunct w:val="0"/>
              <w:bidi w:val="0"/>
              <w:spacing w:line="560" w:lineRule="exact"/>
              <w:jc w:val="center"/>
              <w:textAlignment w:val="center"/>
              <w:rPr>
                <w:rFonts w:hint="eastAsia" w:asciiTheme="minorEastAsia" w:hAnsiTheme="minorEastAsia" w:eastAsiaTheme="minorEastAsia" w:cstheme="minorEastAsia"/>
                <w:color w:val="000000"/>
                <w:kern w:val="0"/>
                <w:sz w:val="28"/>
                <w:szCs w:val="28"/>
              </w:rPr>
            </w:pPr>
          </w:p>
        </w:tc>
        <w:tc>
          <w:tcPr>
            <w:tcW w:w="1763" w:type="dxa"/>
            <w:vMerge w:val="continue"/>
            <w:vAlign w:val="center"/>
          </w:tcPr>
          <w:p>
            <w:pPr>
              <w:keepNext w:val="0"/>
              <w:keepLines w:val="0"/>
              <w:pageBreakBefore w:val="0"/>
              <w:kinsoku/>
              <w:wordWrap/>
              <w:overflowPunct/>
              <w:topLinePunct w:val="0"/>
              <w:bidi w:val="0"/>
              <w:snapToGrid w:val="0"/>
              <w:spacing w:line="560" w:lineRule="exact"/>
              <w:jc w:val="left"/>
              <w:rPr>
                <w:rFonts w:hint="eastAsia" w:asciiTheme="minorEastAsia" w:hAnsiTheme="minorEastAsia" w:eastAsiaTheme="minorEastAsia" w:cstheme="minorEastAsia"/>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49" w:type="dxa"/>
            <w:gridSpan w:val="9"/>
            <w:vAlign w:val="center"/>
          </w:tcPr>
          <w:p>
            <w:pPr>
              <w:keepNext w:val="0"/>
              <w:keepLines w:val="0"/>
              <w:pageBreakBefore w:val="0"/>
              <w:kinsoku/>
              <w:wordWrap/>
              <w:overflowPunct/>
              <w:topLinePunct w:val="0"/>
              <w:bidi w:val="0"/>
              <w:snapToGrid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合计总额（人民币）：</w:t>
            </w:r>
            <w:r>
              <w:rPr>
                <w:rFonts w:hint="eastAsia" w:asciiTheme="minorEastAsia" w:hAnsiTheme="minorEastAsia" w:eastAsiaTheme="minorEastAsia" w:cstheme="minorEastAsia"/>
                <w:color w:val="000000"/>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349" w:type="dxa"/>
            <w:gridSpan w:val="9"/>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注明：</w:t>
            </w:r>
          </w:p>
          <w:p>
            <w:pPr>
              <w:pStyle w:val="4"/>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sz w:val="28"/>
                <w:szCs w:val="28"/>
              </w:rPr>
              <w:t>报价应包括</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rPr>
              <w:t>上述所有货物及服务工作所报设备的制造、包装、装卸、保险、调试、验收、检测、人员培训、设施材料费、人工费、现场安装服务费(含设备基础)、一切税金、运输费、风险费、保修费、登高作业费，同时还应当包含对所供设备提供安装等服务所产生的管理费、利润、规费、措施、税金</w:t>
            </w:r>
            <w:r>
              <w:rPr>
                <w:rFonts w:hint="eastAsia" w:asciiTheme="minorEastAsia" w:hAnsiTheme="minorEastAsia" w:eastAsiaTheme="minorEastAsia" w:cstheme="minorEastAsia"/>
                <w:color w:val="000000"/>
                <w:sz w:val="28"/>
                <w:szCs w:val="28"/>
              </w:rPr>
              <w:t>等相关的全部费用</w:t>
            </w:r>
            <w:r>
              <w:rPr>
                <w:rFonts w:hint="eastAsia" w:asciiTheme="minorEastAsia" w:hAnsiTheme="minorEastAsia" w:eastAsiaTheme="minorEastAsia" w:cstheme="minorEastAsia"/>
                <w:color w:val="000000"/>
                <w:sz w:val="28"/>
                <w:szCs w:val="28"/>
                <w:lang w:eastAsia="zh-CN"/>
              </w:rPr>
              <w:t>。</w:t>
            </w:r>
          </w:p>
        </w:tc>
      </w:tr>
    </w:tbl>
    <w:p>
      <w:pPr>
        <w:keepNext w:val="0"/>
        <w:keepLines w:val="0"/>
        <w:pageBreakBefore w:val="0"/>
        <w:kinsoku/>
        <w:wordWrap/>
        <w:overflowPunct/>
        <w:topLinePunct w:val="0"/>
        <w:bidi w:val="0"/>
        <w:snapToGrid w:val="0"/>
        <w:spacing w:line="560" w:lineRule="exact"/>
        <w:ind w:firstLine="0" w:firstLineChars="0"/>
        <w:jc w:val="left"/>
        <w:rPr>
          <w:rStyle w:val="8"/>
          <w:rFonts w:hint="eastAsia" w:asciiTheme="minorEastAsia" w:hAnsiTheme="minorEastAsia" w:eastAsiaTheme="minorEastAsia" w:cstheme="minorEastAsia"/>
          <w:sz w:val="28"/>
          <w:szCs w:val="28"/>
        </w:rPr>
      </w:pPr>
      <w:r>
        <w:rPr>
          <w:rStyle w:val="8"/>
          <w:rFonts w:hint="eastAsia" w:asciiTheme="minorEastAsia" w:hAnsiTheme="minorEastAsia" w:eastAsiaTheme="minorEastAsia" w:cstheme="minorEastAsia"/>
          <w:sz w:val="28"/>
          <w:szCs w:val="28"/>
          <w:lang w:val="en-US" w:eastAsia="zh-CN"/>
        </w:rPr>
        <w:t>三、</w:t>
      </w:r>
      <w:r>
        <w:rPr>
          <w:rStyle w:val="8"/>
          <w:rFonts w:hint="eastAsia" w:asciiTheme="minorEastAsia" w:hAnsiTheme="minorEastAsia" w:eastAsiaTheme="minorEastAsia" w:cstheme="minorEastAsia"/>
          <w:sz w:val="28"/>
          <w:szCs w:val="28"/>
        </w:rPr>
        <w:t>技术标准要求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（一）、概述</w:t>
      </w:r>
    </w:p>
    <w:p>
      <w:pPr>
        <w:keepNext w:val="0"/>
        <w:keepLines w:val="0"/>
        <w:pageBreakBefore w:val="0"/>
        <w:kinsoku/>
        <w:wordWrap/>
        <w:overflowPunct/>
        <w:topLinePunct w:val="0"/>
        <w:bidi w:val="0"/>
        <w:spacing w:line="560" w:lineRule="exact"/>
        <w:ind w:firstLine="420"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人应根据采购人提供的设备使用场所位置、市政供水压力、高差、供水量等资料，对成套变频增压设备进行基本设计、选型并完成系统配置，符合《福建省住宅建筑生活供水工程技术规程》DBJ/T13-258-2017的相关内容及其所引用标准名录中的标准内容。进水为城市自来水，出水水质及变化范围应符合《生活饮用水水质标准》（</w:t>
      </w:r>
      <w:r>
        <w:rPr>
          <w:rFonts w:hint="eastAsia" w:asciiTheme="minorEastAsia" w:hAnsiTheme="minorEastAsia" w:eastAsiaTheme="minorEastAsia" w:cstheme="minorEastAsia"/>
          <w:bCs/>
          <w:sz w:val="28"/>
          <w:szCs w:val="28"/>
        </w:rPr>
        <w:t>DB31/T 1091-2018</w:t>
      </w:r>
      <w:r>
        <w:rPr>
          <w:rFonts w:hint="eastAsia" w:asciiTheme="minorEastAsia" w:hAnsiTheme="minorEastAsia" w:eastAsiaTheme="minorEastAsia" w:cstheme="minorEastAsia"/>
          <w:sz w:val="28"/>
          <w:szCs w:val="28"/>
        </w:rPr>
        <w:t>）及引用目录中的其他标准。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若有需要，报价人应承诺按照询价文件的内容及采购人要求进行二次设计。</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报价人提供的成套管网叠压供水设备的设计、制造、服务、零部件材质、出水水质、设备性能以及一切必要的配置应能满足二次供配水系统的环境使用要求。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（二）、设备组成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由水泵机组、管道及其附属配件、阀门、止回阀、压力表（或液位计）及压力传感器、稳流隔膜气压罐、增压设备控制柜（柜内主要有：“一控一”变频器、可编程序控制器（PLC）、触摸屏、中间继电器、断路器）等组件构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用管网叠压（无负压）供水方式，设备与市政供水管网连接处应设有倒流防止器（防污隔断阀）、过滤器，进、出水口处应设置取样点（水龙头）及检修阀门，并预留消毒接口设施。室外安装的取样点应设置在箱体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（三）、安装与场地要求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设备在室外安装使用的，宜采用整体形式或设置构筑物防护。设备应根据用户用水的环境特点，以及特殊要求补充其他相关组件。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的成套变频恒压设备安装在室外露天，安装空间受限制，报价人应根据现场情况合理设计成套变频增压设备，安装位置的环境应符合防冻、防晒、防淹，干燥，无冲击振动、无腐蚀的要求，以满足现场最佳安装空间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（四）、主要性能要求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变频增压设备整体式外箱防护等级不低于IP34（室外型）。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设备应配置有手动控制（由变频控制器开环控制）、自动控制（由PLC闭环控制）以及远程控制（中央集中控制平台）的运行功能模式。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设备必须符合运行泵与备用泵的工作形式，且能各自完成单独运行的设计要求。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（五）、软件编程要求</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1．运行工况及参数选择：</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（1）由水泵出水口流量压力，确定选择水泵台数与增压模式。水泵的进水保护值①叠压时最小压力应设定0.2MPa；②水池箱+变频时，保护采用液位控制（现场确定）。</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当进水实际压力（或液位）低于设定的进水口最小保护值时，要持续5秒后，水泵才能停机，不超过5秒不得停机。</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（2）大泵与小泵切换运行时，变频器的频率设定要求：</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a.大泵切换到小泵时的最小频率（或无功频率），默认值：由现场调试确定，取值范围宜为30-35 HZ。</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b.水泵休眠压力设定默认值： P+0.05MPa。</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c.水泵唤醒压力设定默认值： P-0.05MPa。</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P---指出水压力设定值。</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（3）水泵（大泵或小泵）在无功频率运行时，出水压力高于或低于设定默认值60s，水泵应开始切换或进入休眠（唤醒）状态。</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（4）系统应能自动检测増压水泵有连续三次以上休眠时间少于60s时，应要关闭休眠（唤醒）功能。</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（5）水泵电机的启动频率设定：默认值20 Hz。</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（6）频率上升下降速率：1～5Hz / s。</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（7）两台泵及以上并联运行时，各泵出水至汇总管处的压力应保持一致。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2．增压方式与组合选择：</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 2台泵设置（一用一备）：设计流量小于等于15m3 /h；</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 xml:space="preserve">(2) 2台大泵 （一用一备）+1台小泵设置： 设计流量大于15～30m3/h； </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 3台泵设置（二用一备）：设计流量大于30m3/h；</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3．密码设置：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（1）初始密码（666666）。</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（2）进水、出水口压力调节及运行工况选择或频率设置等调整时，必须输入密码确认后才能允许进入进行调节、选择、设置。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4．运行工况设置要求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（1）设备的进水、出水口控制、保护压力（或液位）等应能够在控制面板上的触摸屏上进行现场设定，设定精度为0.01MPa。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（2）设备运行状态下，当进水口压力（或液位）的上升/下降时，水泵机组应能自动调整转速，保持出水口压力稳定，出水口工作压力波动范围应在±0.01MPa。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（3）设备运行状态下，当出水水量增加/减少时，水泵机组应能自动调整转速，保持出水口压力稳定，出水工作压力波动范围应在±0.01MPa。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（4）设备运行状态下，当出水水量显著增加/减少时，水泵机组应能自动增加/减少水泵机组运行台数。水泵机组增加/减少时，出水压力应稳定，出水工作压力波动范围应在±0.01MPa；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（5）设备运行状态下，当出水压力高于出水设定的保护压力（应不超过0.02MPa）时，水泵机组应能自动停止运行。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（6）设备运行状态下，当进水口压力（或出水口压力）高于休眠压力值时，水泵机组应能自动停止运行，进入休眠状态。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设备休眠状态下，当出水压力低于设定的出水最低压力值0.05MPa时，水泵机组应能自动启动运行。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（7）设备运行状态下，当进水口压力（或液位）持续低于进水停机压力（或液位）5秒后（不超过5秒水泵不应停机），水泵机组应能自动停机，同时发出水源故障报警。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（8）设备取水的水源故障报警状态下，当进水口压力(液位)恢复至进水开机保护时，设备应能够自动解除故障报警状态，并在30s内恢复到待机状态。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（9）电源故障时，设备应具备保护功能。电源恢复正常后30s内，设备应能自动恢复到正常待机状态。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（10）当水泵机组某台水泵故障时，应能自动切换到机组备用水泵运行。同时系统应能发出水泵故障报警。在故障水泵未修复及复位前，应始终保持醒目的报警状态，正常的运行水泵应能保持运行状态。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每次设备停机后的再启动，均应能顺序切换到不同的水泵进行启动，同时水泵运行48小时后，下次启动时能自动切换到备用水泵运行，以避免备用水泵运行时间不均匀。系统应能有自动记录各台水泵的历史累计运行时间，并存储在PLC中以便查询。</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（12）设备的运行水泵与备用水泵的自动切换时，出水压力的波动应在±0.01MPa以内，水泵电机的转速能自动调速，使出水压力能调节到所设定的压力值。</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（13）设备应具有自动调节水泵的转速和软启动的功能。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（14）设备应具有对各类故障进行自检、报警、自动保护的功能。对可恢复的故障应能有自动、手动消除恢复正常运行的功能。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（15）成套变频増压设备应配置有数据、信号远程传输模块及相应的连接与通讯接口。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（16）水泵机组的调速配置的变频器，必须按照“一控一”全变频设置变频调速控制方式。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（17）吸水管的设计流速可取：总吸水管段取0.8～1.0m/s，水泵吸水管段取1.0～1.2m/s。水泵出水管设计流速取1.2～1.6m/s。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（六）、电气系统安全要求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1、设备中带电电路之间以及带电零部件或接地零部件的电气间隙应大于4mm，爬电距离应大于6mm。并应符合《电气控制设备》GB/T 3797-2016中第6.4条的规定。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2、设备必须设置有防雷、保护接地装置，金属构体上应设置接地点，与接地点相连接的保护导线的截面，应与设备导体截面积相同，与接地点连接的导线必须是黄、绿双色线。并应符合《电气控制设备》GB/T 3797-2016的规定。接地保护型式应满足《系统接地的型式及安全技术要求》GB14050-2016要求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3、设备中带电回路之间及带电回路和地之间的绝缘电阻按标称电压应至少1000Ω/V(按其电压等级的绝缘电阻表测量)；介电强度(主回路)应至少达到强度2500V,(辅助回路) 工频耐受电压应至少达到1500V。并应符合《电气控制设备》GB/T 3797-2016中6.10的规定。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4、电气及自动控制系统应具有抗干扰能力，距离电气及自动控制箱1m处，在电动设备启动运行的干扰下，应能稳定可靠地工作。在5.9m/s(0.6G)震动下可正常工作。抗电磁干扰性能符合IEC255-22标准规定。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5、设备的变频运行产生的谐波分量及消除谐波能力应符合国家有关标准的规定。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6、控制柜的内部结构布置必须严格按系统图、国家标准及地方规范执行；内部接线应排列整齐、清晰和美观，绑扎成束或敷于专用塑料槽内卡箍箍在安装架上；配线应考虑足够的余量。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（七）、系统各组成部件要求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增压控制柜</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投标人应根据询价人提供的控制柜安装场地要求，调整控制柜的安装位置，室外条件下应集成安装于成套设备内部。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1、变频器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（1）、变频器必须为成熟工业级产品，</w:t>
      </w:r>
      <w:r>
        <w:rPr>
          <w:rFonts w:hint="eastAsia" w:asciiTheme="minorEastAsia" w:hAnsiTheme="minorEastAsia" w:eastAsiaTheme="minorEastAsia" w:cstheme="minorEastAsia"/>
          <w:b/>
          <w:sz w:val="28"/>
          <w:szCs w:val="28"/>
        </w:rPr>
        <w:t>推荐使用西门子（SIEMENS）G120系列或M440系列、丹佛斯（Danfoss）FC302或以上系列、AB（Allen-Bradley）PF755</w:t>
      </w:r>
      <w:r>
        <w:rPr>
          <w:rFonts w:hint="eastAsia" w:asciiTheme="minorEastAsia" w:hAnsiTheme="minorEastAsia" w:eastAsiaTheme="minorEastAsia" w:cstheme="minorEastAsia"/>
          <w:sz w:val="28"/>
          <w:szCs w:val="28"/>
        </w:rPr>
        <w:t>或以上系列，带面板操作功能。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（2）、每台水泵必须采用“一控一”全变频配置变频器，启动和停机均应通过变频器调速实现，避免造成压力波动超过规定范围。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（3）、变频器的输出频率范围为0～60Hz，输出电压为0～380V。</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（4）、为减少设备故障点，保证设备安全运行及设备稳定性，变频器须集成Profinet通讯接口。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（5）、变频器的加减速时间0～999999s可调。</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（6）、变频器必须采取矢量控制方式，而且变频器必须对电机进行自动适配，对电机建立相应的数据模型。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（7）、变频器可根据电机的负载率和噪音情况调整载波频率，且这种调节必须能在变频器运行时进行，且载波频率可调节的最大值16KHz。</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为到达最佳的节能效果、变频器要求具有自动能量优化功能，当电机在50Hz运行时，如非满载，也要求具有节能和降噪效果。变频器有载波频率控制功能，当变频器过载时,降低载波频率，又降低变频器的损耗。</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（9）、闭环控制：变频器要求内置标准的PID（比例积分微分）控制器。可直接接受传感器的信号，实现局部的自动控制。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（10）、由于变频器故障多发生在电机的启动和停车过程中，所以变频器必须具有自动调节加减速时间的功能。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（11）、变频器需通过ISO9001质量认证体系。符合cUL、UL、CE等相关标准，满足工业环境对EMC辐射、传导、射频发射的要求，满足EMC产品标准EN61800-3（2016）。</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（12）、谐波抑制和电磁兼容:变频器在整流、逆变过程中不可避免产生电源谐波和电磁干扰。变频器制造商应采用合理有效的措施来降低，抑制谐波和电磁干扰，使之不得影响周围其它电器设备。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（13）、为更好地保护变频器，延长变频器的使用寿命，变频器的冷却风扇在变频器脉冲禁止后必须可以继续运行且运行时间可控。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（14）、变频器过载特性：1.1倍额定输出电流可持续57 秒，1.5倍额定输出电流可持续3秒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根据故障性质的不同，对一般性故障变频器必须采用降低载波频率或降容运行等技术处理，尽可能维持系统的不间断运行。变频器必须具有主电源过压、欠压、缺相、输入不平衡、变频器过载、中间直流电压过高/低、变频器冷却风扇故障、变频器温升过高，设定信号过高/低、反馈信号过高/低、变频器故障、串行通讯超时、接地/短路故障、防止点击失速、电机堵转、参数互锁故障保护的功能。在任何状态下，变频器能将上述异常状态合并为一个故障信号，提供给上位系统。维护人员于现场通过操作面板获取进一步的故障信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（16）、两台或多台泵同时运行时，所有变频器频率应自动调节至统一。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（17）、变频器具有足够的可编程输入输出点，6DI，3DO，2AI，2AO，以便实现就地（即环控机房）、环控电控室、上位监控系统三级控制及运行信号指示或显示。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（18）、变频器可以由监控系统或变频器局部自动控制平稳地转到手动控制方式。切换时不得导致系统的停机、失控、振荡和故障。</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（19）、变频器应适用于水泵变频启动、工况切换、联动电动风阀、节能降噪等功能要求。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2、人机操作界面（HMI）  参考产品：</w:t>
      </w:r>
      <w:r>
        <w:rPr>
          <w:rFonts w:hint="eastAsia" w:asciiTheme="minorEastAsia" w:hAnsiTheme="minorEastAsia" w:eastAsiaTheme="minorEastAsia" w:cstheme="minorEastAsia"/>
          <w:b/>
          <w:sz w:val="28"/>
          <w:szCs w:val="28"/>
        </w:rPr>
        <w:t>西门子、施耐德、欧姆龙</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（1）、硬件特性基本要求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支持横向和竖向安装；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集成 USB 2.0 host 通信接口；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 主频 600MHz，内存 128MB DDR3；</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支持硬件实时时钟功能；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尺寸要求：800x400（7寸）或1024x600（10寸）高分辨率，64K色，LED背光，或更高标准；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集成以太网口可与可编程控制器进行通讯；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隔离串口（RS422/485自适应切换），可连接西门子、三菱、施耐德、欧姆龙系列PLC；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支持Modbus RTU协议；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集成USB2.0 host接口，可连接鼠标、键盘、Hub以及USB存储器；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支持通过 U 盘进行数据归档；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支持通过 U 盘备份和恢复触摸屏中的项目和数据，进而可进行项目移植；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支持数据和报警记录归档功能；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强大配方管理，趋势显示，报警功能；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通过Pack&amp;Go功能，轻松实现项目更新与维护；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支持趋势控件中查看历史数据归档；</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支持报警控件中查看历史报警记录；</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 USB 口微型打印机；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支持 U 盘系统恢复功能；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（2）、证书要求 ：具备CE和RoHS认证及证书。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同时可在界面上对相关的控制参数及供水模式进行设定。触摸屏应能显示和控制的项目（至少但不限于以下项目）如表1。</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表1 显示和控制项目</w:t>
      </w:r>
    </w:p>
    <w:tbl>
      <w:tblPr>
        <w:tblStyle w:val="6"/>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41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类  型</w:t>
            </w: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 w:hRule="atLeast"/>
          <w:jc w:val="center"/>
        </w:trPr>
        <w:tc>
          <w:tcPr>
            <w:tcW w:w="2415" w:type="dxa"/>
            <w:vMerge w:val="restart"/>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显  示</w:t>
            </w: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进水压力（或液位），出水压力实际值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进水压力（或液位），出水压力设定值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各台水泵开、停机状态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各台水泵运行频率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水泵故障状态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系统故障状态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restart"/>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控  制</w:t>
            </w: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系统控制压力设置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系统PLC运行参数设置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atLeast"/>
          <w:jc w:val="center"/>
        </w:trPr>
        <w:tc>
          <w:tcPr>
            <w:tcW w:w="2415" w:type="dxa"/>
            <w:vMerge w:val="continue"/>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vAlign w:val="center"/>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供水模式选择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15" w:type="dxa"/>
            <w:vMerge w:val="continue"/>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p>
        </w:tc>
        <w:tc>
          <w:tcPr>
            <w:tcW w:w="5625"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初设修定密码为：666666</w:t>
            </w:r>
          </w:p>
        </w:tc>
      </w:tr>
    </w:tbl>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3、可编程序控制器（PLC）参考产品：</w:t>
      </w:r>
      <w:r>
        <w:rPr>
          <w:rFonts w:hint="eastAsia" w:asciiTheme="minorEastAsia" w:hAnsiTheme="minorEastAsia" w:eastAsiaTheme="minorEastAsia" w:cstheme="minorEastAsia"/>
          <w:b/>
          <w:sz w:val="28"/>
          <w:szCs w:val="28"/>
        </w:rPr>
        <w:t>西门子、施耐德、AB</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（1）常规要求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尺寸 、体积小、适用于柜内标准35mm导轨安装；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（2）电源要求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a.电压范围 85 ~ 264 V AC 或者20.4 ~ 28.8 V DC；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b.电源频率 47 ~ 63 Hz；</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c.浪涌电流（最大） 264 V AC 时 8.9 A 28.8 V DC 时 6 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d.隔离（输入电源与逻辑侧） 1500 VAC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e.漏地电流，AC 线路对功能地 最大 0.5 mA；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f.保持时间（掉电） 120 V AC 时 30 ms/240 V AC 时 200 ms/24 V DC 时 20 ms；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g.内部保险丝（用户不可更换） 3 A，250 V，慢速熔断；</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（3）CPU要求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 性能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布尔运算速度应小于等于 0.15μs/指令；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移动字运算速度应小于等于 1.2μs/指令；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实数数学运算运算速度应小于等于 3.6μs/指令；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通过信号板可扩展通信端口、模拟量通道、数字量通道和时钟保持功能；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 硬件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CPU后可扩展模块模块数量不少于6个；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 RS485通信信号接口至少2个；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CPU上以太网接口至少1个，通过以太网接口还可与其他CPU模块、触摸屏、计算机进行通信，轻松组网；</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CPU上可扩展信号板模块，尤其可以扩展通信信号模板，比如信号板支持</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RS232/RS485 自由转换的信号板且支持Modbus RTU、USS、自由口通信等协议；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CPU本体上至少集成 3 路或2路 100KHz 高速脉冲输出；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CPU上应支持通用 Micro SD 卡下载程序、更新 PLC 固件和恢复出厂设置，得满足客户工程师对最终用户的远程服务支持，省去了因PLC固件升级返厂服务的不便；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扩展最大开关量 I/O   最大要达到250个；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扩展最大模拟量 I/O   最大要不达到49个；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CPU上的接线端子要可拆卸，便于安装接线；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 程序元素</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程序编写要满足嵌套要求，要求如下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主程序：1 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子程序：128 个（0 到 127）；</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中断程序：128 个（0 到 127）；</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嵌套深度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来自主程序：8 个子程序级别；</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来自中断程序：4 个子程序级别；</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累加器至少拥有4个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非保持型定时器至少拥有180个，保持性不得低于50个；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计数器不低于250个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 通信要求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端口数 以太网：不少于1个；</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串行端口：不少于1（RS485）；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附加串行端口：不少于1（带有可选RS232/485 信号板）；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编程设备（PG） 以太网：1 个连接；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CPU应该支持（PUT/GET） 以太网：8个客户端和8个服务器连接；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保证能够使用开放式用户通信 以太网：8个主动和8个被动连接；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数据传输率 以太网：正常标准10/100 Mb/s；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RS485 系统协议：正常标准9600，19200 和 187500 b/s；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RS485 自由端口：正常标准1200 到 115200 b/s；</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隔离（外部信号与 PLC 逻辑侧） 以太网：变压隔离器，1500 VAC；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（4）传感器电源要求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电压范围 20.4～28.8 V DC；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额定输出电流（最大） 300 mA；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（5）证书要求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a.具备标准、许可、证书；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b.具备CE 标记证书；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4、柜（箱）体的结构要求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（1）、恒（叠）压设备电气控制柜或控制箱内安装有变频器、PLC、电气控制元器件及电源保护开关、电气测量仪表等，柜面安装操作终端。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（2）、柜（箱）内需配置保护接地端以及足够多的接线终端，信号输出点应配置继电器转换，以保护隔离PLC与被控的设备。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（3）、控制柜（箱）应有完整的中文标识端子接线图，应能清楚标明各种信号名称和端子排上的位置。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（4）、柜（箱）体应是型材框架的金属板结构，型材应采用九折弯以上结构，板材采用不低于2.0mm厚S</w:t>
      </w:r>
      <w:r>
        <w:rPr>
          <w:rFonts w:hint="eastAsia" w:asciiTheme="minorEastAsia" w:hAnsiTheme="minorEastAsia" w:eastAsiaTheme="minorEastAsia" w:cstheme="minorEastAsia"/>
          <w:sz w:val="28"/>
          <w:szCs w:val="28"/>
          <w:lang w:val="en-US" w:eastAsia="zh-CN"/>
        </w:rPr>
        <w:t>31603</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Cr1</w:t>
      </w:r>
      <w:r>
        <w:rPr>
          <w:rFonts w:hint="eastAsia" w:asciiTheme="minorEastAsia" w:hAnsiTheme="minorEastAsia" w:eastAsiaTheme="minorEastAsia" w:cstheme="minorEastAsia"/>
          <w:sz w:val="28"/>
          <w:szCs w:val="28"/>
          <w:lang w:val="en-US" w:eastAsia="zh-CN"/>
        </w:rPr>
        <w:t>7NI14O2</w:t>
      </w:r>
      <w:r>
        <w:rPr>
          <w:rFonts w:hint="eastAsia" w:asciiTheme="minorEastAsia" w:hAnsiTheme="minorEastAsia" w:eastAsiaTheme="minorEastAsia" w:cstheme="minorEastAsia"/>
          <w:sz w:val="28"/>
          <w:szCs w:val="28"/>
        </w:rPr>
        <w:t>）不锈钢材料制作，柜内元器件安装底板的厚度应采用2.5mm。元件板门与框架的总装配应平滑嵌装无波纹出现，应提供必须的肋和支架减少撞击，保证功能单元装配整齐、牢固。应避免出现未加工的毛边，角和边缘焊接处和接地处要牢固，平滑，不允许出现裂缝接点和断纹。</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（5）、柜内应设有机械散热装置，该装置能根据柜内的情况自动投切。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（6）、柜（箱）体的外表防护等级应不低于IP44，并符合EMC反屏蔽标准。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（7）、所有零部件应具有标识牌，标识牌上应注明容量，操作特性形式以及可靠的安全措施。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（8）、柜（箱）体门的内侧上应设置存放文件袋，并存放有电气线路原理图与安装图的相关技术文件。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5、柜（箱）体内其它元器件要求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（1）断路器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电源进线应设置空气断路器总开关，每台水泵电机的调速变频器前应设置保护断路器。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断路器应符合IEC60947-2和IEC60947-4-1标准的要求，具有欠压、失相、过压、过流、短路等保护，不频繁的直接开关电源隔离作用。分断能力为10kA～100kA，机械及电气寿命均在100,000次以上。断路器能安装附带的触点机构，用于作现场控制或远程状态信号的传输。</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（2）熔断器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控制回路应单独采用熔断器熔丝保护控制回路,熔断器应采用导轨式FS-P，熔丝B6-30，用于交流50Hz、额定电压380V、额定电流应根据控制回路中的额定电流选择，作过流、短路保护用，是一种高分断能力的断路器。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（3）隔离变压器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①柜（箱）内二次控制回路应采用隔离变压器，控制及指示用的电源均应通过变压器供电。</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②隔离变压器的输入侧单相电压为380V，50Hz；输出侧电压为单相220V，50Hz；并应有安全保护接地措施。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③隔离变压器应符合IEC60989-UL506，工作的环境最高温度为60摄氏度。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④隔离变压器的容量应根据所承担负载的回路容量决定，最小不应低于100VA，线圈间的绝缘电压为4000V。</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（4）转换开关和指示灯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①选用性能良好的产品，转换开关，指示灯均安装在柜门上，柜门上设置有手动(急停)/自动/远程/选择转换开关。</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②电源运行指示灯为红色，故障指示灯为黄色，机组运行指示灯为绿色。</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③指示灯的电压采用24V，DC的LED灯，使用寿命在标称电压下应超过50000小时。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④选择开关有无源触点送PLC系统。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（5）接线端子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接线端子应采用铜制的螺钉型接线端子，导轨安装，每个端子均应有标识，具有分隔板和终端固定装置。端子的额定耐压为6KV，最大工作电压为800V。</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（6）中间继电器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间继电器采用24V,DC,导轨式安装，所选用的中间继电器应能很容易地扩展触点，以便输送状态信号传输至监控系统，继电器的抗干扰应符合DL478-92《静态继电保护及自动装置通用技术条件》中的有关规定。主要技术参数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①动作电压：不大于70%额定值。返回电压：不小于5%额定值。动作时间：不大于0.02s（额定值下）。返回时间：不大于0.02s（额定值下）。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②电气寿命：继电器在正常负荷下，电寿命不低于1万次。</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③绝缘电阻：下列部位用开路电压500V兆欧表测量其绝缘电阻应≥300MΩ（常温下）。导电端子与外露非带电金属或外壳之间：a.动、静触点之间；b.常开触点与常闭触点之间；c.触点与电压回路之间。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介质强度：继电器各导电电路连在一起与外露的非带电金属部分及外壳之间、线圈电路与触点电路之间，应能承受1kV（有效值）、50Hz的交流试验电压，历时1min，而无绝缘击穿或闪络现象。⑤备用：柜（箱）内应预留1-2个备用中间继电器以便检修时使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电缆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①电力电缆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a.柜（箱）体内的动力电缆应是硬拉的高导电的多股铜芯线，电缆应整齐排列和牢固支撑固定，提供满足系统要求的中性线和保护接地母线排。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b.电流回路的导线截面不应小于1.5mm</w:t>
      </w:r>
      <w:r>
        <w:rPr>
          <w:rFonts w:hint="eastAsia" w:asciiTheme="minorEastAsia" w:hAnsiTheme="minorEastAsia" w:eastAsiaTheme="minorEastAsia" w:cstheme="minorEastAsia"/>
          <w:sz w:val="28"/>
          <w:szCs w:val="28"/>
          <w:vertAlign w:val="superscript"/>
        </w:rPr>
        <w:t>2</w:t>
      </w:r>
      <w:r>
        <w:rPr>
          <w:rFonts w:hint="eastAsia" w:asciiTheme="minorEastAsia" w:hAnsiTheme="minorEastAsia" w:eastAsiaTheme="minorEastAsia" w:cstheme="minorEastAsia"/>
          <w:sz w:val="28"/>
          <w:szCs w:val="28"/>
        </w:rPr>
        <w:t>的多股铜芯线，绝缘等级为0.5kV，柜（箱）内控制线应整齐排列夹紧放入线槽内，采用色线分类。每个单元或组件的控制线必须在端子排上接口，柜内应留有20%备用接线端子。柜（箱）内应设有中性线端子，单独引出一根中性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c.电力电缆选用电压0.5KV，电源的进线孔设在柜体底部，采用下进线方式。柜（箱）体的进出线孔必须装设与电缆规格配套的橡胶防护套以免刮伤电缆，橡胶护套与柜板紧密扣接，以防脱落。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d.电缆性能不受其敷设高差限制，敷设时的弯曲半径不应小于电缆外径的10倍，电缆在环境温度下使用时，线芯温度不应超过＋70°C，5秒钟短路温度不能超过160°C。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e.电缆的型号，额定电压，芯数及标准截面应符合国家标准。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 控制电缆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a.控制电缆用于交流50Hz、电压500V或直流电压1000V及以下，需远距离操作的控制电路中，亦可作为配电装置中连接电器、仪表线路之用。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b.电缆芯线的允许长期工作温度应不超过＋65°C，电缆敷设时的弯曲半径不小于电缆外径的10倍。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c.铜芯聚氯乙烯电缆护套内的钢带铠装控制电缆应能承受较大的机械外力作用。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d.屏蔽电缆（变送器、二次仪表用）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 屏蔽电缆应适用于工业自动化控制领域电动仪表、数字仪表等传送微弱模拟信号，具有较高的防静电、电磁屏蔽效果。</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 屏蔽电缆导电芯的允许长期工作温度为＋70°C。敷设时的弯曲半径不小于电缆外径的10倍。绝缘线芯在1KHz时的工作电容应大于80nF/FN。</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 屏蔽电缆外抗磁场的能力：在频率50Hz，强度为400A/M的外界磁场下，电缆的一端输入频率为1KHz，电流或电度为0~100mA变化时，电缆的另一端输入信号的变化值不超过±50µA。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 屏蔽电缆抗静电的能力：静电放电或试验电压为15KV(±10%)时，在电缆线芯内感应的电压不应大于20mA。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 屏蔽电缆抗辐射干扰的能力：辐射电磁场在频率为20~200µHz范围内，场强为120dB（7MV）的电场中，电缆线芯内感应强度不大于50dB。</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电缆套管品牌：</w:t>
      </w:r>
      <w:r>
        <w:rPr>
          <w:rFonts w:hint="eastAsia" w:asciiTheme="minorEastAsia" w:hAnsiTheme="minorEastAsia" w:eastAsiaTheme="minorEastAsia" w:cstheme="minorEastAsia"/>
          <w:b/>
          <w:sz w:val="28"/>
          <w:szCs w:val="28"/>
        </w:rPr>
        <w:t>联塑、伟星、亚通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电缆参考品牌：</w:t>
      </w:r>
      <w:r>
        <w:rPr>
          <w:rFonts w:hint="eastAsia" w:asciiTheme="minorEastAsia" w:hAnsiTheme="minorEastAsia" w:eastAsiaTheme="minorEastAsia" w:cstheme="minorEastAsia"/>
          <w:b/>
          <w:sz w:val="28"/>
          <w:szCs w:val="28"/>
        </w:rPr>
        <w:t xml:space="preserve">远东电缆、太阳牌电缆、宝胜电缆 </w:t>
      </w:r>
      <w:r>
        <w:rPr>
          <w:rFonts w:hint="eastAsia" w:asciiTheme="minorEastAsia" w:hAnsiTheme="minorEastAsia" w:eastAsiaTheme="minorEastAsia" w:cstheme="minorEastAsia"/>
          <w:sz w:val="28"/>
          <w:szCs w:val="28"/>
        </w:rPr>
        <w:t xml:space="preserve">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（8）、电子式</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"http://www.cx-jl.com/proddj1.asp"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电动机保护器</w:t>
      </w:r>
      <w:r>
        <w:rPr>
          <w:rFonts w:hint="eastAsia" w:asciiTheme="minorEastAsia" w:hAnsiTheme="minorEastAsia" w:eastAsiaTheme="minorEastAsia" w:cstheme="minorEastAsia"/>
          <w:sz w:val="28"/>
          <w:szCs w:val="28"/>
        </w:rPr>
        <w:fldChar w:fldCharType="end"/>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工作环境温度：-10℃～＋65℃，相对湿度：≤95%（40℃）；</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平均无故障工作时间：≥20000小时；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工作电源：220V/380V AC 50Hz（或根据拥护需要而定）；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整机功耗：≤1.5瓦；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断相（线）动作时间：≤3秒；</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过载延时动作时间：10秒～20分钟（超负荷时按反限时规律动作）；   </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相不平衡（时间偏差50%）﹤120秒、堵转（热态）﹤15秒；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具有对称性故障 ( 如过载、过流、堵转 ) 及非对称性故障( 如各种断相、电流不平衡、相间短路、匝间短路等 ) 以及相序、过压、欠压保护。适合工作环境恶劣、电网质量较差的场合。</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其结构要简单、功能齐全、精度高、动作可靠、使用方便、体积小：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a、接线方式：三相电线分别穿过</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"http://www.cx-jl.com/proddj1.asp"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电动机保护器</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的三只穿线孔，相序任意。</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b、辅助触点：一常开一常闭 ，触点容量≥5A（阻性）或≥3A（感性）。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常闭触点用于变频接触互锁回路。</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c、复位方式：手动。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（9）柜（箱）内的主要电气元器件应选用施耐德、欧姆龙或西门子系列产品，并应考虑余量。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立式多级离心水泵</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1、概述</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成套变频增压设备的供水量、安装地点、供水用户数、供水层数与区域应结合用水户的环境特点，选择合适的增压水泵机组及其性能参数。</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水泵应采用立式不锈钢多级离心泵,参考品牌：</w:t>
      </w:r>
      <w:r>
        <w:rPr>
          <w:rFonts w:hint="eastAsia" w:asciiTheme="minorEastAsia" w:hAnsiTheme="minorEastAsia" w:eastAsiaTheme="minorEastAsia" w:cstheme="minorEastAsia"/>
          <w:b/>
          <w:sz w:val="28"/>
          <w:szCs w:val="28"/>
        </w:rPr>
        <w:t>格兰富（</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"http://www.baidu.com/link?url=GMgE4LFDi_1fxZ2rZKsvzursPvKSaJx_NImuU4AIDTx4cNnQypGOPmmCMzcuF5ut"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sz w:val="28"/>
          <w:szCs w:val="28"/>
        </w:rPr>
        <w:t>Grundfos</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t xml:space="preserve">）、威乐（wilo）、滨特尔（PENTAIR）、荏原。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2、水泵和电机性能参数</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（1）、水泵</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水泵型式：立式多级离心泵</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流量和扬程： 根据用水户的环境使用条件确定。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液体： 生活饮用水，PH＝6～9</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（2）、配套电机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电机应由水泵制造商配套提供，应能够满足变频调节转速的运行要求。电机参考品牌：应采用立式多级泵同品牌电机，或</w:t>
      </w:r>
      <w:r>
        <w:rPr>
          <w:rFonts w:hint="eastAsia" w:asciiTheme="minorEastAsia" w:hAnsiTheme="minorEastAsia" w:eastAsiaTheme="minorEastAsia" w:cstheme="minorEastAsia"/>
          <w:b/>
          <w:sz w:val="28"/>
          <w:szCs w:val="28"/>
        </w:rPr>
        <w:t>格兰富、西门子、ABB</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（3）、水泵效率、电机效率要求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①电动机起动的静阻转矩应大于水泵的起动转矩，电动机的转速应和水泵设计转速一致。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②水泵、电机相关的性能曲线包括流量、扬程、功率、定速工况效率、变频工况效率等应给予提供。</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（4）、立式多级离心泵级数增加或减少一级，同流量下相应的扬程的变化应在4～6m范围。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水泵的材质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表2 水泵的主要零部件及材质                    </w:t>
      </w:r>
    </w:p>
    <w:tbl>
      <w:tblPr>
        <w:tblStyle w:val="6"/>
        <w:tblW w:w="7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零件名称</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支架</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铸铁GG20（HT200）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轴</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叶轮</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不锈钢1.4401（0Cr17Ni11Mo2、316）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中间腔体</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外套筒</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不锈钢1.4301（0Cr18Ni9、304）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泵头及进出水段</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不锈钢（AISI304）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泵中橡胶件</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EPDM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3"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轴封</w:t>
            </w:r>
          </w:p>
        </w:tc>
        <w:tc>
          <w:tcPr>
            <w:tcW w:w="5597" w:type="dxa"/>
          </w:tcPr>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O型圈式轴封、SiC/SiC或SiC/WC、EPDM</w:t>
            </w:r>
          </w:p>
        </w:tc>
      </w:tr>
    </w:tbl>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水泵的材质应不低于以上标准。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（6）、立式多级离心泵结构与材质的具体要求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采用立式多级离心泵，干式安装，自灌式。水泵由泵的基座和泵头所组成，电机通过机械锁定方式，固定在泵头上。流道腔的组件和外筒体位于基座和泵头间由紧固螺栓紧固。泵的进出口位于基座上并在同一轴线上。水泵机组和管道应有减震和降低噪音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②应符合《离心泵技术规范》（ISO9905-1994）或《离心泵技术条件（Ⅰ类）》（GB T16907-2014）或等效的其他国际或国家标准设计制造。</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③应采用《</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"http://www.baidu.com/link?url=w8sQt4kCUjSNI3IRS5NghErf9zXuTfVMDywKqxmx1QhBCqIwDeGxVZ8ciYqUM4ZyVsddoFAyC4wvWrZ9NdC1Ba"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回转动力泵.液压性能验收试验.等级1,2和3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》（ISO9906:2012）或《回转动力泵 水力性能验收试验 1级和2级》（GBT3216-2016）中的1级标准或等效的其他国际或国家标准进行检测试验。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离心泵的内部结构应满足当水泵倒转15分钟以内时，它不会带来对水泵电机和控制机构的损坏。具有相同扬程流量特性的水泵应共同的构造特点和部件，这些部件应是通用、可以互换的，除非另有规定，水泵壳体要能承受1.5倍的设计静压力的试验，静压试验时间不小于30分钟。应当提供水泵的全部主要部件，必要的指示器和润滑系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多级立式离心泵的结构由泵头、叶轮、泵轴、中间腔体、外套筒、底座（进出水段）、轴封等组成。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（7）、进出水段应采用GB标准法兰活动连接或丝扣连接。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（8）、泵壳</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1.轴上的旋转轴承螺钉固定，调换方便。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2.轴上有第一级叶轮指示，方便安装。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3.叶轮与轴由不锈钢锥形螺栓固定，方便拆装，叶轮口环由易于更换的不锈钢颈环保护。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4.叶轮腔中支撑轴承（轴向）材料为合成石墨，抗干转动和抗震动性能佳。</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5.叶轮腔中径向轴承，有静止腔体上的青铜/合成石墨和旋转轴上的碳化钨组合，硬与软面相接触，保证最大的耐磨性。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6.叶轮腔体设有一个固定的不锈钢密封环，一个叶轮口环处浮动的特氟龙密封环，防止水的回流，密封环保护可运送固体颗粒，防止颗粒在叶轮腔体中旋转磨损腔体。</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7.水泵座和水泵头与叶轮腔体连接固定，通过自紧螺钉拆装方便。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8.泵轴材质采用不锈钢S31608及以上，叶轮材质采用不锈钢S30408，激光焊接制造。</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（9）、泵头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1.水泵头与泵壳腔体通过自锁螺钉固定，可轻易固定，拆装方便。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2.密封固定后，磨动的面应在排气后完全被水润滑，并被固定在密封面下。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3.水泵头排水孔可连接排水管，并设有传感器安装孔及安全排气阀连接孔。</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4.水泵头和马达座分开，方便维修。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5.密封上装有定位叉，调整密封高度，方便精密安装。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（10）、电动机通过联轴器与水泵泵轴连接传送动力。泵轴与泵头之间，采用集装式免维护机械轴封不应泄漏，对轴无磨损。机械密封的基本额定寿命不小于10000小时。轴封的最大温度范围为－30℃～＋120℃。</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（11）、水泵其他要求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1.离心泵在整个运行工况条件下，必须运行平稳、无振动、无气蚀，其在满负荷条件下运行的噪音等级为在离其1米远处小于或等于75分贝。不允许任何水力驼峰点或相似曲线出现（以实验曲线为准）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2.离心泵应有良好的密封性能,不得超过有关标准规定的漏滴现象。轴封采用集装式免维护机械密封，水泵与电机之间的联轴器及机封结构的性能不应低于水泵厂商配置。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3.离心泵在以额定转速的130%反转转速以下倒转时，不会产生任何损坏。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4.离心泵应能承受各种正常和异常操作情况下产生的力，如：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①阀关闭时的正常起动和停机。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②由于输送介质倒流而引起的倒转。</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③由于断电及紧急停车而引起的水力瞬变。</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④由于某种原因而快速关闭和再开启出流阀。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⑤固体物撞击时的阻力。</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5.离心泵在连续满负荷运行条件下，各部轴承与密封结构等的温升不应大于35℃。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6.离心泵的铸件表面应光滑平整、无毛刺、无锐角、无气孔。</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（12）、电机电气要求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1.Y系列鼠笼式交流电机或国际同等标准电机，电机为全封闭、风冷型。电机由水泵制造商配套提供，功率和型式符合IEC-Norm。应符合欧洲CEMEP的Eff1电机标准或美国EPACT中规定的高效电机标准，或其他等效标准。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电源：380V, 50HZ</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防护等级：IP55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绝缘等级：F</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2.电机的设计、制造、安装、测试应服从IEC标准。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3.电机在任何情况下运行，其功率均不应超过铭牌上规定的额定功率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4.电机绕组应是由绝缘铜线绕制的真空压力油浸线圈，绝缘等将达到F级，绕组温升等级将被限制在B级，最大工作温度可达155℃。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5.电机能在频率为30-51HZ，电压在正常额定电压下波动±10％的变化中连续运转。</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6.当频率正常而电压为0.8Ue 时, 电机和接触器能继续运行5分钟而不产生有害过热，且能在相间电压产生2%的不平衡电压情况下继续运行。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7.在保证电机从最小到最大负荷变化条件下的功率因数不低于0.86 。</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8.要求电机在额定工况下连续运行的平均寿命不小于15年。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9.要求电机为低噪声，符合IEC和中国标准。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10.电机全部轴承都要求带有油或润滑油，润滑剂。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电缆接线端子盒与电机的外壳框架稳固安装在一起或铸为一体，全封闭防水、防潮、防盐雾、耐腐蚀，经得起撞冲，盒内应有联接电机绕组抽头的端子，它们是大小适当的双头螺钉，且按标准标明端子之间的关系，电缆是由接线盒的底部进入并用密封垫圈加以密封，用于电机绕组测温元件引出接点的端子应与电机绕组电缆接线的端子适当隔离。</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12.所有电机都要根据要求对外壳进行接地，接地线和接地端子随每台电机设备一起提供。</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倒流防止器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1、管网叠压供水设备应采用低阻力倒流防止器，由一个双级止回的装置主阀和中间腔体的泄水装置两部分所组成。按《倒流防止器》（CJ/T160-2010）行业标准生产。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倒流防止器参考品牌：</w:t>
      </w:r>
      <w:r>
        <w:rPr>
          <w:rFonts w:hint="eastAsia" w:asciiTheme="minorEastAsia" w:hAnsiTheme="minorEastAsia" w:eastAsiaTheme="minorEastAsia" w:cstheme="minorEastAsia"/>
          <w:b/>
          <w:sz w:val="28"/>
          <w:szCs w:val="28"/>
        </w:rPr>
        <w:t>上海高桥、上海上龙、株州南方</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2、当进口压力（P1）小于出口压力（P3）时,阀门关闭，其中间腔的压力（P2）低于进口压力的差值（即△P=P1－P2）应≥0.024～0.055MPa。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3、当进口压力大于出口压力阀门正常开启后，在管中流速V=1.5～2.5m/s时，水头损失应≤0.025～0.04MPa。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4、倒流防止器的开启压力应≤0.06～0.1MPa。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5、倒流防止器在正常工作时（水流从进口端流向出口端）应无泄水现象。</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 倒流防止器采用不锈钢S30408（06Cr19Ni10）及以上材质制造。</w:t>
      </w:r>
    </w:p>
    <w:p>
      <w:pPr>
        <w:pStyle w:val="10"/>
        <w:keepNext w:val="0"/>
        <w:keepLines w:val="0"/>
        <w:pageBreakBefore w:val="0"/>
        <w:kinsoku/>
        <w:wordWrap/>
        <w:overflowPunct/>
        <w:topLinePunct w:val="0"/>
        <w:bidi w:val="0"/>
        <w:spacing w:line="560" w:lineRule="exact"/>
        <w:ind w:firstLine="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阀 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阀门使用条件要求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2、阀门的适用介质温度为-10</w:t>
      </w:r>
      <w:r>
        <w:rPr>
          <w:rFonts w:hint="eastAsia" w:asciiTheme="minorEastAsia" w:hAnsiTheme="minorEastAsia" w:eastAsiaTheme="minorEastAsia" w:cstheme="minorEastAsia"/>
          <w:sz w:val="28"/>
          <w:szCs w:val="28"/>
        </w:rPr>
        <w:sym w:font="Symbol" w:char="F0B0"/>
      </w:r>
      <w:r>
        <w:rPr>
          <w:rFonts w:hint="eastAsia" w:asciiTheme="minorEastAsia" w:hAnsiTheme="minorEastAsia" w:eastAsiaTheme="minorEastAsia" w:cstheme="minorEastAsia"/>
          <w:sz w:val="28"/>
          <w:szCs w:val="28"/>
        </w:rPr>
        <w:t>-80℃。</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3、阀门的适用介质的pH值为4～9。</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4、阀门泄漏率不大于0.011/s/m</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5、阀门的连接型式应为法兰或螺纹连接。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6、公称压力，增压前选用PN10，增压后应根据压力要求选用。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闸阀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1.闸阀应为硬密封，阀体与阀杆应为不锈钢材质，采用S30408（06Cr19Ni10）不锈钢，填料应采用EPDM（三元乙丙橡胶）橡胶及以上材料。</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2、闸阀的结构，阀杆应在介质压力作用下开和关，拆开阀杆密封挡圈(如填料压盖)时，阀杆不致于脱出的结构。阀杆的截面应能经受最大操作转矩，阀座应为除与阀体堆焊在一起的整体式结构。</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参考品牌：</w:t>
      </w:r>
      <w:r>
        <w:rPr>
          <w:rFonts w:hint="eastAsia" w:asciiTheme="minorEastAsia" w:hAnsiTheme="minorEastAsia" w:eastAsiaTheme="minorEastAsia" w:cstheme="minorEastAsia"/>
          <w:b/>
          <w:sz w:val="28"/>
          <w:szCs w:val="28"/>
        </w:rPr>
        <w:t>上海正丰、福建汉特斯、温州中瓯</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止回阀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金属管道的直径50mm至100mm的管线，应采用静音止回阀，材质必须为不锈钢S30408（06Cr19Ni10）或以上材质。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2.止回阀应能安全可靠，要求其工作压力低于0.10MPa时也能实现开启，并保持回水不漏水。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止回阀装置的输水阻力应小，具有静音、消除停泵回流产生的破坏性水锤。</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4.具有较强防腐耐磨性能，使用寿命长。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静音（消声）止回阀的质量要求，参考品牌：</w:t>
      </w:r>
      <w:r>
        <w:rPr>
          <w:rFonts w:hint="eastAsia" w:asciiTheme="minorEastAsia" w:hAnsiTheme="minorEastAsia" w:eastAsiaTheme="minorEastAsia" w:cstheme="minorEastAsia"/>
          <w:b/>
          <w:sz w:val="28"/>
          <w:szCs w:val="28"/>
        </w:rPr>
        <w:t>上海冠龙、上海高桥、福州宝鑫源</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对夹式蝶阀</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对夹式蝶阀的构造与材质应符合GB12238-2008标准要求。各部件要求如下：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1.阀体：阀体应采用不锈钢S30408（06Cr19Ni10）及以上材质，最小壁厚应保证在承受1.5倍以上的额定工作压力时所有的部件不发生变形。</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2.阀板：阀板应采用S30408（06Cr19Ni10）及以上材质，阀板的设计应力应能承受作用在关闭蝶阀上的全部压差，而所产生的工作应力不超过阀板使用的材质的抗拉强度的1/5。阀板厚度不得超过轴直径的2.25倍。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3.阀轴：阀轴应采用不锈钢S31608（06Cr17NiMo2）及以上材质，阀轴的最小直径应满足力矩及有关参数的要求。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4.阀轴与阀板的连接，应能满足传递相当于最小轴径扭转强度的转矩要求，轴与阀板应紧密装配，以保证在开启或关闭操作中对阀门性能不产生有害影响。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轴承：阀体轴承应采用有自润滑能力强的青铜硬质合金，轴承的内部设计有蓄润槽，使阀杆与轴承灵活可靠。在最大的压力负荷下，轴承运转时磨擦系数不超过0.25。阀门要求双向密封，压力试验要符合GB/T13927-2008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6.阀体与阀板宜采用软密封，橡胶密封圈应有良好的耐磨性、抗腐蚀性、抗冲击性及抗老化等性能。</w:t>
      </w:r>
    </w:p>
    <w:p>
      <w:pPr>
        <w:pStyle w:val="11"/>
        <w:keepNext w:val="0"/>
        <w:keepLines w:val="0"/>
        <w:pageBreakBefore w:val="0"/>
        <w:shd w:val="clear" w:color="auto" w:fill="FFFFFF"/>
        <w:kinsoku/>
        <w:wordWrap/>
        <w:overflowPunct/>
        <w:topLinePunct w:val="0"/>
        <w:bidi w:val="0"/>
        <w:spacing w:before="0" w:beforeAutospacing="0" w:after="0" w:afterAutospacing="0" w:line="560" w:lineRule="exac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（八）、管道系统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管道布置要求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道布置应便于拆除维修，管道使用的部件及零配件应保证管道流量持续均匀，水头损失最小。应最大限度地降低法兰使用的数量，管道中所使用零部件应以便于组装并符合总体管道外观要求。成套机组内管道上部件（如水泵、闸阀、单向阀、倒流防止器等）更换维修时，应能保证设备可以正常运行，用户端不停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2.管道系统应设置用于导流和释放空气的设施，排放的污水及其他流质应导入建筑物的排水系统中，排放时间不应超过30分钟。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3.管道系统上的阀门、滤网装置等与相连管道应采用能分开的连接方式，使用的法兰应满足国家标准要求，并应根据所承受的压力率进行钻孔，同时应使用带定位螺栓孔的全断面垫圈。</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管道及附属配件</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1.管道及配件应采用S30408（06Cr19Ni10）以上材质的流体输送用无缝不锈钢管。材质应符合GB/T14976-2012、GB/T12771-2008或CJ/T 151-2016的要求。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2.连接管要用托架支撑固定，水泵拆除其连接管不会因为重量及振动原因而产生倾斜。连接管与快速接头、法兰、止回阀等焊接处内壁过渡平滑不允许有缩径、毛刺等，管内径允许公差应在 土1.5mm范围内。</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3.伸缩接头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伸缩接头应采用可曲挠橡胶接头或不锈钢柔性波纹管，同一类型的伸缩接头应采用同一品牌的产品，同一型号伸缩接头的易损零部件应能互换。伸缩接头工作压力增压前选用1.0MPa，增压后按压力要求选用，其设计制作应符合国家标准规定。柔性接头应具有隔振功能，能隔断水泵振动的传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管道及附属配件涉及饮用水的应有安全卫生许可批件。</w:t>
      </w:r>
    </w:p>
    <w:p>
      <w:pPr>
        <w:pStyle w:val="12"/>
        <w:keepNext w:val="0"/>
        <w:keepLines w:val="0"/>
        <w:pageBreakBefore w:val="0"/>
        <w:kinsoku/>
        <w:wordWrap/>
        <w:overflowPunct/>
        <w:topLinePunct w:val="0"/>
        <w:bidi w:val="0"/>
        <w:spacing w:line="560" w:lineRule="exact"/>
        <w:ind w:firstLine="0" w:firstLineChars="0"/>
        <w:rPr>
          <w:rFonts w:hint="eastAsia" w:asciiTheme="minorEastAsia" w:hAnsiTheme="minorEastAsia" w:eastAsiaTheme="minorEastAsia" w:cstheme="minorEastAsia"/>
          <w:b/>
          <w:bCs/>
          <w:spacing w:val="0"/>
          <w:kern w:val="0"/>
          <w:sz w:val="28"/>
          <w:szCs w:val="28"/>
          <w:lang w:val="en-US" w:eastAsia="zh-CN" w:bidi="ar-SA"/>
        </w:rPr>
      </w:pPr>
      <w:r>
        <w:rPr>
          <w:rFonts w:hint="eastAsia" w:asciiTheme="minorEastAsia" w:hAnsiTheme="minorEastAsia" w:eastAsiaTheme="minorEastAsia" w:cstheme="minorEastAsia"/>
          <w:b/>
          <w:bCs/>
          <w:spacing w:val="0"/>
          <w:kern w:val="0"/>
          <w:sz w:val="28"/>
          <w:szCs w:val="28"/>
          <w:lang w:val="en-US" w:eastAsia="zh-CN" w:bidi="ar-SA"/>
        </w:rPr>
        <w:t>（九）、压力表及压力传感器</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压力表、压力传感器要求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备的进水管上应设置压力表（或液位计）及压力传感器（或液位），出水汇总管上应设置电接点压力表及压力传感器。压力表（或液位计）及压力传感器的前端必须配置检修阀门，根据压力（或液位）的变送器信号或自动切换装置，由PLC控制设备的运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2.压力表及压力传感器需通过缓冲管垂直向上安装，压力传感器参考品牌：</w:t>
      </w:r>
      <w:r>
        <w:rPr>
          <w:rFonts w:hint="eastAsia" w:asciiTheme="minorEastAsia" w:hAnsiTheme="minorEastAsia" w:eastAsiaTheme="minorEastAsia" w:cstheme="minorEastAsia"/>
          <w:b/>
          <w:sz w:val="28"/>
          <w:szCs w:val="28"/>
        </w:rPr>
        <w:t>瑞士HUBA、德国E＋H、上海朝辉</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3.性能参数要求：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（1）压力类型：表压。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（2）测量范围：0～1.0MPa。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过压极限：4MPa。</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准确度：±0.075量程。</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（5）量程比：100：1，可进行量程与零点调整。</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（6）稳定性：在温度变化±28℃，静压最大为6MPa条件下，五年稳定性±0.125%URL。</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（7）延迟时间：45毫秒。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 刷新速率：22次/秒。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 总的响应时间：100毫秒。</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 过程温度极限：-10～60℃。</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湿度极限：0～100%相对湿度。</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启动时间：变送器加电2秒内达到性能指标。</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 容积变化量：小于0.08cm</w:t>
      </w:r>
      <w:r>
        <w:rPr>
          <w:rFonts w:hint="eastAsia" w:asciiTheme="minorEastAsia" w:hAnsiTheme="minorEastAsia" w:eastAsiaTheme="minorEastAsia" w:cstheme="minorEastAsia"/>
          <w:sz w:val="28"/>
          <w:szCs w:val="28"/>
          <w:vertAlign w:val="superscript"/>
        </w:rPr>
        <w:t>3</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 安装位置影响：零点最多漂移2.5inH</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O，可修正，无量程影响。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 振动影响：在谐振下，与管道轴向成任意角度的方向施加15～2000Hz的振动进行测试，振动影响小于±0.1%URL/g。</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 电源影响：小于±0.005%量程/伏。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 射频干扰影响：小于±0.1%量程，20至1000MHz，场强达到30伏/米。</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 耐瞬变电压保护：一体化耐瞬变电压保护端子块，符合IEEE标准587，B类；符合IEEE标准472，抗冲击能力；适用标准，IEC 801-4，801-5。</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 输出：4～20mA，带有基于HART协议的数字信号。</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 电源：需要外部电源，标准变送器（4～20mA）空载时工作在10.5～55Vdc。</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回路负载极限：当电源电压为10.5V时，最大回路电阻为43.5欧。</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过程连接型式：G1/2 A DIN 16288 阳螺纹。</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隔离膜片：316L SST。</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 灌充液：硅油。</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 外壳材料：铝，聚氨酯涂层。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 导线管入口尺寸：1/2-14NPT。</w:t>
      </w:r>
    </w:p>
    <w:p>
      <w:pPr>
        <w:pStyle w:val="10"/>
        <w:keepNext w:val="0"/>
        <w:keepLines w:val="0"/>
        <w:pageBreakBefore w:val="0"/>
        <w:kinsoku/>
        <w:wordWrap/>
        <w:overflowPunct/>
        <w:topLinePunct w:val="0"/>
        <w:bidi w:val="0"/>
        <w:spacing w:line="560" w:lineRule="exact"/>
        <w:ind w:firstLine="0"/>
        <w:rPr>
          <w:rFonts w:hint="eastAsia" w:asciiTheme="minorEastAsia" w:hAnsiTheme="minorEastAsia" w:eastAsiaTheme="minorEastAsia" w:cstheme="minorEastAsia"/>
          <w:b/>
          <w:bCs/>
          <w:color w:val="auto"/>
          <w:kern w:val="0"/>
          <w:sz w:val="28"/>
          <w:szCs w:val="28"/>
          <w:lang w:val="en-US" w:eastAsia="zh-CN" w:bidi="ar-SA"/>
        </w:rPr>
      </w:pPr>
      <w:bookmarkStart w:id="0" w:name="_Toc232309408"/>
      <w:r>
        <w:rPr>
          <w:rFonts w:hint="eastAsia" w:asciiTheme="minorEastAsia" w:hAnsiTheme="minorEastAsia" w:eastAsiaTheme="minorEastAsia" w:cstheme="minorEastAsia"/>
          <w:b/>
          <w:bCs/>
          <w:color w:val="auto"/>
          <w:kern w:val="0"/>
          <w:sz w:val="28"/>
          <w:szCs w:val="28"/>
          <w:lang w:val="en-US" w:eastAsia="zh-CN" w:bidi="ar-SA"/>
        </w:rPr>
        <w:t>（十）、外箱体及总体要求</w:t>
      </w:r>
      <w:bookmarkEnd w:id="0"/>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1、外箱体要求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trike/>
          <w:sz w:val="28"/>
          <w:szCs w:val="28"/>
        </w:rPr>
      </w:pPr>
      <w:r>
        <w:rPr>
          <w:rFonts w:hint="eastAsia" w:asciiTheme="minorEastAsia" w:hAnsiTheme="minorEastAsia" w:eastAsiaTheme="minorEastAsia" w:cstheme="minorEastAsia"/>
          <w:sz w:val="28"/>
          <w:szCs w:val="28"/>
        </w:rPr>
        <w:t>（1）、设备在外观上不应有明显的裂纹、流痕、脱漆、起泡、锈蚀、凹陷、变形、脏物等缺陷，且应有牢固的安全警示标志。外箱体应是亚光拉丝S3</w:t>
      </w:r>
      <w:r>
        <w:rPr>
          <w:rFonts w:hint="eastAsia" w:asciiTheme="minorEastAsia" w:hAnsiTheme="minorEastAsia" w:eastAsiaTheme="minorEastAsia" w:cstheme="minorEastAsia"/>
          <w:sz w:val="28"/>
          <w:szCs w:val="28"/>
          <w:lang w:val="en-US" w:eastAsia="zh-CN"/>
        </w:rPr>
        <w:t>1603</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Cr1</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Ni</w:t>
      </w:r>
      <w:r>
        <w:rPr>
          <w:rFonts w:hint="eastAsia" w:asciiTheme="minorEastAsia" w:hAnsiTheme="minorEastAsia" w:eastAsiaTheme="minorEastAsia" w:cstheme="minorEastAsia"/>
          <w:sz w:val="28"/>
          <w:szCs w:val="28"/>
          <w:lang w:val="en-US" w:eastAsia="zh-CN"/>
        </w:rPr>
        <w:t>14MO2</w:t>
      </w:r>
      <w:r>
        <w:rPr>
          <w:rFonts w:hint="eastAsia" w:asciiTheme="minorEastAsia" w:hAnsiTheme="minorEastAsia" w:eastAsiaTheme="minorEastAsia" w:cstheme="minorEastAsia"/>
          <w:sz w:val="28"/>
          <w:szCs w:val="28"/>
        </w:rPr>
        <w:t>）或以上材质，型材应采用九折以上结构，外箱体、上盖板及门四角必须焊接牢固，外箱体框架及上盖板、底板的厚度不小于2.0mm，四面门板厚度不小于1.5mm。并应符合GB/T12771-2008中6.7要求。箱门外锁必须采用具有防锈、防撬、防盗功能的新型结构，且一批产品只能采用一把钥匙。吊环装于箱体顶部。箱体内部要有增加10mm厚隔音棉的空间。箱体底板上要有足够的排水孔，以防箱底出现集水现象。</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箱体外开关前要有醒目的、防雨、防晒、耐久的安全标示。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外箱体上方隔热防护措施要与箱子连接牢固。</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（2）、管网叠压供水设备的增压泵、隔膜气压罐、止回阀、电源及控制柜及管路、阀门等全部安装在一个箱体内，箱体内所有设备管路等应装配合理、结构紧凑、工艺完好、维修方便。</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隔膜气压罐必须与箱底牢固连接。</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水泵底座固定螺母要与箱体焊接牢固，以方便在箱体内拆装水泵，不允许采用箱体内外用工具对锁的连接方式。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（3）、设备应有牢固的永久性铭牌（不锈钢铆接），且应在铭牌上用不易抹去的方法铭刻以下信息：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①生产企业名称</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②产品执行标准号</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③产品卫生许可批件批准文号</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④产品规格型号及运行参数（含流量、扬程、功率等）</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⑤入网许可证号及设备统一编号</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⑥生产日期及其它必要的信息</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⑦出厂编号及日期</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⑧售后服务联系方式及电话等</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设备包装应符合有关包装与运输标准要求，并有防雨、防晒措施。到货设备必须附有合格证、电气原理图、使用说明书（应是中文版本）和及组成清单。说明书中的文字和附图需让用户易懂，并且至少要明示以下事项：</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①防止不正确使用方法的指示、表示、警告</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②防止事故的指示、警告、措施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③产品的使用方法</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④针对产品出现问题咨询的方法</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2、安装要求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（1）、设备应设置安装基座，基座应高出地面不小于100mm，基座周边应宽出设备不小于150mm。设备安装处应有排除地面集水的措施。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（2）、成套变频增压设备安装等要符合我司的验收资料要求。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（3）、成套变频增压设备安装前，施工方必须通知施工监理单位到现场察看，并做鉴定。</w:t>
      </w:r>
    </w:p>
    <w:p>
      <w:pPr>
        <w:pStyle w:val="13"/>
        <w:keepNext w:val="0"/>
        <w:keepLines w:val="0"/>
        <w:pageBreakBefore w:val="0"/>
        <w:kinsoku/>
        <w:wordWrap/>
        <w:overflowPunct/>
        <w:topLinePunct w:val="0"/>
        <w:bidi w:val="0"/>
        <w:spacing w:line="560" w:lineRule="exact"/>
        <w:ind w:firstLine="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（十一）、防噪隔振要求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1、安装在户外的室外整体式叠压供水设备，其运行噪声应符合现行的国家标准《城市区域环境噪声标准》GB3096-2008等规范的要求。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2、安装在地下室、架空层、楼梯间等场所的室内整体式叠压供水设备，其运行噪声应符合现行的国家标准《民用建筑隔声设计规范》GB 50118-2010等规范的要求。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3、安装在独立设置的给水泵房内的室内整体式叠压供水设备，其运行噪声应符合现行的国家标准《声环境质量标准》GB3096-2008等规范的要求。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4、安装在建筑物内专用泵房的室内整体式叠压供水设备，其运行噪声应符合现行的国家标准《民用建筑隔声设计规范》GB 50118-2010等规范的要求。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5、管网叠压供水设备应采用以下隔振减噪措施：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1）吸水管、出水管及支吊架上应设置隔振装置。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2）水泵机组或箱体底部应设置隔振装置。</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3）管道穿墙、楼板处，应采取防止固体传声措施。</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4）必要时，泵房的墙壁、天花等应采取隔音吸音处理。</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6、减震垫（器）参考配品牌：</w:t>
      </w:r>
      <w:r>
        <w:rPr>
          <w:rFonts w:hint="eastAsia" w:asciiTheme="minorEastAsia" w:hAnsiTheme="minorEastAsia" w:eastAsiaTheme="minorEastAsia" w:cstheme="minorEastAsia"/>
          <w:b/>
          <w:sz w:val="28"/>
          <w:szCs w:val="28"/>
        </w:rPr>
        <w:t>上海静音减震器、中陈（厦门）科技、南安南减科技。</w:t>
      </w:r>
    </w:p>
    <w:p>
      <w:pPr>
        <w:pStyle w:val="13"/>
        <w:keepNext w:val="0"/>
        <w:keepLines w:val="0"/>
        <w:pageBreakBefore w:val="0"/>
        <w:kinsoku/>
        <w:wordWrap/>
        <w:overflowPunct/>
        <w:topLinePunct w:val="0"/>
        <w:bidi w:val="0"/>
        <w:spacing w:line="560" w:lineRule="exact"/>
        <w:ind w:firstLine="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（十二）、试压、冲洗消毒要求</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1、管网叠压供水设备进出水管道的试压符合现行《建筑给水排水及采暖工程施工质量验收规范》GB50242-2016的规定。</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2、对于不能参与试压的设备、仪表、阀门及附件应加以隔离或拆除；加设的临时盲板应具有突出于法兰的边耳，且应做明显标志，并记录临时盲板的数量。</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系统需用自来水进行通水冲洗。冲洗水流速宜大于2m/s，冲洗时不留死角，保证系统中每个环节均能被冲洗到。系统最低点应设排水口，以保证系统中的冲洗水能完全排出。清洗标准为冲洗出口处的水质与进水水质相同。</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4、系统冲洗前，应对系统内不能或有碍冲洗工作的部件加以保护或者拆除，用临时短管代替，待冲洗后复位。</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5、系统冲洗后采用消毒液对管网灌洗消毒。消毒液可采用20～30mg/l 的游离氯或过氧化氢或其它合适消毒液。</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6、系统消毒后，用自来水进行冲洗，直到系统出水水质与进水口相同为止。</w:t>
      </w:r>
    </w:p>
    <w:p>
      <w:pPr>
        <w:pStyle w:val="5"/>
        <w:keepNext w:val="0"/>
        <w:keepLines w:val="0"/>
        <w:pageBreakBefore w:val="0"/>
        <w:kinsoku/>
        <w:wordWrap/>
        <w:overflowPunct/>
        <w:topLinePunct w:val="0"/>
        <w:bidi w:val="0"/>
        <w:spacing w:line="560" w:lineRule="exact"/>
        <w:ind w:left="0" w:leftChars="0" w:firstLine="0" w:firstLineChars="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十三</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流量计参考品牌：科隆、ABB、西门子</w:t>
      </w:r>
    </w:p>
    <w:p>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lang w:val="en-US" w:eastAsia="zh-CN" w:bidi="ar-SA"/>
        </w:rPr>
        <w:t>（十四）</w:t>
      </w:r>
      <w:r>
        <w:rPr>
          <w:rFonts w:hint="eastAsia" w:asciiTheme="minorEastAsia" w:hAnsiTheme="minorEastAsia" w:eastAsiaTheme="minorEastAsia" w:cstheme="minorEastAsia"/>
          <w:b/>
          <w:bCs/>
          <w:sz w:val="28"/>
          <w:szCs w:val="28"/>
        </w:rPr>
        <w:t>、不锈钢成品水箱技术要求：</w:t>
      </w:r>
    </w:p>
    <w:p>
      <w:pPr>
        <w:pStyle w:val="5"/>
        <w:keepNext w:val="0"/>
        <w:keepLines w:val="0"/>
        <w:pageBreakBefore w:val="0"/>
        <w:kinsoku/>
        <w:wordWrap/>
        <w:overflowPunct/>
        <w:topLinePunct w:val="0"/>
        <w:bidi w:val="0"/>
        <w:spacing w:line="560" w:lineRule="exact"/>
        <w:ind w:left="0" w:leftChars="0"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水箱材质为不锈钢SUS3</w:t>
      </w:r>
      <w:r>
        <w:rPr>
          <w:rFonts w:hint="eastAsia" w:asciiTheme="minorEastAsia" w:hAnsiTheme="minorEastAsia" w:eastAsiaTheme="minorEastAsia" w:cstheme="minorEastAsia"/>
          <w:sz w:val="28"/>
          <w:szCs w:val="28"/>
          <w:lang w:val="en-US" w:eastAsia="zh-CN"/>
        </w:rPr>
        <w:t>1603</w:t>
      </w:r>
      <w:r>
        <w:rPr>
          <w:rFonts w:hint="eastAsia" w:asciiTheme="minorEastAsia" w:hAnsiTheme="minorEastAsia" w:eastAsiaTheme="minorEastAsia" w:cstheme="minorEastAsia"/>
          <w:sz w:val="28"/>
          <w:szCs w:val="28"/>
        </w:rPr>
        <w:t>以上板厚偏差参照SUS工业标准为准（±10%），不锈钢板镍含量为大于等于8.0%等相关要求，板厚：底板（平板）2.5mm，侧1层2.0mm，侧2层1.5mm，顶板1.5mm，水箱开口材料全部采用不锈钢管和不锈钢法兰，水箱内部拉筋采用4*4不锈钢折边角钢拉筋，增强水箱抗压能力，钢基础采用12#国标热镀锌槽钢制作，钢结构架防腐处理，接口处用电焊焊接牢固。</w:t>
      </w:r>
    </w:p>
    <w:p>
      <w:p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1、水池（箱）的材质应符合下列条件：</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1.1、生活饮用水贮水池（箱）宜采用不锈钢材质的成品水池（箱）。</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1.2、生活饮用水贮水池（箱）采用不锈钢材质时，材质应采用S30408或S31603(O22Cr17Ni14Mo2)，焊接材料应比箱体材质高一个等级，焊缝应进行酸洗钝化处理。采用非不锈钢材质的生活饮用水贮水池（箱）时，其材质、衬砌材料和内壁涂料不得影响水质，并满足耐腐蚀等要求；</w:t>
      </w:r>
    </w:p>
    <w:p>
      <w:p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2、水池（箱）设置应符合以下规定：</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2.1、生活水池（箱）与非生活水池（箱）应分开独立设置，距污染源、污染物的距离应符合国家标准《建筑给水排水设计规范》GB50015 的规定；</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2.2、水池（箱）应设置在维护方便、通风良好、不结冰的房间内。室外设置的水池（箱）及管道应有防冻、隔热、防污染措施；</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2.3、生活饮用水贮水池（箱）容积大于或等于50 立方米时，应分为容积基本相等的两格（座），两格（座）之间应设连通管，并能独立运行；</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2.4、建筑物内水池（箱）侧壁与墙面间距不宜小于700mm，安装有管道的侧面，净距不宜小于1000mm，且管道外壁与建筑本体墙面之间的通道宽度不宜小于600mm；水池（箱）与室内建筑凸出部分间距不宜小于500mm；水池（箱）顶部与楼板间距不宜小于800mm；水池（箱）底部应架空，距地面不宜小于500mm（有阀门的应大于800mm）,并应具有排水条件；</w:t>
      </w:r>
    </w:p>
    <w:p>
      <w:p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3 水池（箱）配置应符合下列要求：</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3.1、进水管的设置应符合国家标准《建筑给水排水设计规范》GB50015 的规定；</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3.2、进、出水管的布置不得产生短流现象，必要时应设导流装置；</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3.3、进、出水管上必须安装阀门，水池（箱）应设置水位监控和溢流就地报警装置并将水位数据及报警信号上传至远程监控平台；</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3.4、溢流管管径应比进水管管径大一级，宜采用水平喇叭口集水，喇叭口下的垂直管段不宜小于4 倍溢流管管径，溢流管出口末端应设置耐腐蚀材料防护网，与排水系统不得直接连接并应有不小于150mm 的空气间隙；</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3.5、泄水管应设在水池（箱）底部，管径不应小于DN50。水池（箱）底部宜有坡度，并坡向泄水管或集水坑。泄水管与排水系统不得直接连接并应有不小于泄水管管径2.5 倍的空气间隙；</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3.6、通气管管径应不小于DN65，通气管口应采取防护措施；通气管数量不少于两个，且应对角布置、通气口要有明显的高差，高度差宜大于等于400mm；</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3.7、水池（箱）人孔必须加盖、带锁、封闭严密，</w:t>
      </w:r>
      <w:r>
        <w:rPr>
          <w:rFonts w:hint="eastAsia" w:asciiTheme="minorEastAsia" w:hAnsiTheme="minorEastAsia" w:eastAsiaTheme="minorEastAsia" w:cstheme="minorEastAsia"/>
          <w:sz w:val="28"/>
          <w:szCs w:val="28"/>
          <w:u w:val="single"/>
          <w:lang w:eastAsia="zh-CN"/>
        </w:rPr>
        <w:t>优先采用侧开孔安装方案，</w:t>
      </w:r>
      <w:r>
        <w:rPr>
          <w:rFonts w:hint="eastAsia" w:asciiTheme="minorEastAsia" w:hAnsiTheme="minorEastAsia" w:eastAsiaTheme="minorEastAsia" w:cstheme="minorEastAsia"/>
          <w:sz w:val="28"/>
          <w:szCs w:val="28"/>
          <w:lang w:eastAsia="zh-CN"/>
        </w:rPr>
        <w:t>采用顶部开孔时人孔高出水池（箱）外顶不应小于100mm。</w:t>
      </w:r>
    </w:p>
    <w:p>
      <w:p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4水池（箱）其结构及制作安装应符合现行地方标准符合《福建省二次供水不锈钢水池（箱）应用技术规程》DBJ/T13-261-2017的相关内容及其所引用标准名录中的标准内容，《系统接地的型式及安全技术要求》GB14050-2008。</w:t>
      </w:r>
    </w:p>
    <w:p>
      <w:pPr>
        <w:pStyle w:val="5"/>
        <w:keepNext w:val="0"/>
        <w:keepLines w:val="0"/>
        <w:pageBreakBefore w:val="0"/>
        <w:kinsoku/>
        <w:wordWrap/>
        <w:overflowPunct/>
        <w:topLinePunct w:val="0"/>
        <w:bidi w:val="0"/>
        <w:spacing w:line="560" w:lineRule="exact"/>
        <w:ind w:left="0" w:leftChars="0" w:firstLine="480"/>
        <w:rPr>
          <w:rFonts w:hint="eastAsia" w:asciiTheme="minorEastAsia" w:hAnsiTheme="minorEastAsia" w:eastAsiaTheme="minorEastAsia" w:cstheme="minorEastAsia"/>
          <w:sz w:val="28"/>
          <w:szCs w:val="28"/>
        </w:rPr>
      </w:pPr>
    </w:p>
    <w:p>
      <w:pPr>
        <w:keepNext w:val="0"/>
        <w:keepLines w:val="0"/>
        <w:pageBreakBefore w:val="0"/>
        <w:numPr>
          <w:ilvl w:val="0"/>
          <w:numId w:val="0"/>
        </w:numPr>
        <w:kinsoku/>
        <w:wordWrap/>
        <w:overflowPunct/>
        <w:topLinePunct w:val="0"/>
        <w:bidi w:val="0"/>
        <w:spacing w:line="560" w:lineRule="exact"/>
        <w:ind w:leftChars="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四、递交的方式及时间、地点：</w:t>
      </w:r>
    </w:p>
    <w:p>
      <w:pPr>
        <w:pStyle w:val="5"/>
        <w:keepNext w:val="0"/>
        <w:keepLines w:val="0"/>
        <w:pageBreakBefore w:val="0"/>
        <w:numPr>
          <w:ilvl w:val="0"/>
          <w:numId w:val="0"/>
        </w:numPr>
        <w:kinsoku/>
        <w:wordWrap/>
        <w:overflowPunct/>
        <w:topLinePunct w:val="0"/>
        <w:bidi w:val="0"/>
        <w:spacing w:line="560" w:lineRule="exact"/>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材料密封递交，送达截止时间：所有材料应于本公告发布之日起五个工作日内送达（如材料以快件形式递交，应按规定截止时间前寄达我司），公司具体地址：福州市鼓楼区杨桥西路12号。接受人：林先生，联系电话：0591-83778612.</w:t>
      </w:r>
    </w:p>
    <w:p>
      <w:pPr>
        <w:pStyle w:val="5"/>
        <w:keepNext w:val="0"/>
        <w:keepLines w:val="0"/>
        <w:pageBreakBefore w:val="0"/>
        <w:numPr>
          <w:ilvl w:val="0"/>
          <w:numId w:val="0"/>
        </w:numPr>
        <w:kinsoku/>
        <w:wordWrap/>
        <w:overflowPunct/>
        <w:topLinePunct w:val="0"/>
        <w:bidi w:val="0"/>
        <w:spacing w:line="560" w:lineRule="exact"/>
        <w:ind w:leftChars="0"/>
        <w:rPr>
          <w:rFonts w:hint="eastAsia" w:asciiTheme="minorEastAsia" w:hAnsiTheme="minorEastAsia" w:eastAsiaTheme="minorEastAsia" w:cstheme="minorEastAsia"/>
          <w:sz w:val="28"/>
          <w:szCs w:val="28"/>
          <w:lang w:val="en-US" w:eastAsia="zh-CN"/>
        </w:rPr>
      </w:pPr>
    </w:p>
    <w:p>
      <w:pPr>
        <w:pStyle w:val="5"/>
        <w:keepNext w:val="0"/>
        <w:keepLines w:val="0"/>
        <w:pageBreakBefore w:val="0"/>
        <w:numPr>
          <w:ilvl w:val="0"/>
          <w:numId w:val="0"/>
        </w:numPr>
        <w:kinsoku/>
        <w:wordWrap/>
        <w:overflowPunct/>
        <w:topLinePunct w:val="0"/>
        <w:bidi w:val="0"/>
        <w:spacing w:line="560" w:lineRule="exact"/>
        <w:ind w:leftChars="0"/>
        <w:rPr>
          <w:rFonts w:hint="eastAsia" w:asciiTheme="minorEastAsia" w:hAnsiTheme="minorEastAsia" w:eastAsiaTheme="minorEastAsia" w:cstheme="minorEastAsia"/>
          <w:sz w:val="28"/>
          <w:szCs w:val="28"/>
          <w:lang w:val="en-US" w:eastAsia="zh-CN"/>
        </w:rPr>
      </w:pPr>
    </w:p>
    <w:p>
      <w:pPr>
        <w:pStyle w:val="5"/>
        <w:keepNext w:val="0"/>
        <w:keepLines w:val="0"/>
        <w:pageBreakBefore w:val="0"/>
        <w:numPr>
          <w:ilvl w:val="0"/>
          <w:numId w:val="0"/>
        </w:numPr>
        <w:kinsoku/>
        <w:wordWrap/>
        <w:overflowPunct/>
        <w:topLinePunct w:val="0"/>
        <w:bidi w:val="0"/>
        <w:spacing w:line="560" w:lineRule="exact"/>
        <w:ind w:leftChars="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福州市水务工程有限责任公司</w:t>
      </w:r>
    </w:p>
    <w:p>
      <w:pPr>
        <w:pStyle w:val="5"/>
        <w:keepNext w:val="0"/>
        <w:keepLines w:val="0"/>
        <w:pageBreakBefore w:val="0"/>
        <w:numPr>
          <w:ilvl w:val="0"/>
          <w:numId w:val="0"/>
        </w:numPr>
        <w:kinsoku/>
        <w:wordWrap/>
        <w:overflowPunct/>
        <w:topLinePunct w:val="0"/>
        <w:bidi w:val="0"/>
        <w:spacing w:line="560" w:lineRule="exact"/>
        <w:ind w:leftChars="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材料部</w:t>
      </w:r>
    </w:p>
    <w:p>
      <w:pPr>
        <w:pStyle w:val="5"/>
        <w:keepNext w:val="0"/>
        <w:keepLines w:val="0"/>
        <w:pageBreakBefore w:val="0"/>
        <w:numPr>
          <w:ilvl w:val="0"/>
          <w:numId w:val="0"/>
        </w:numPr>
        <w:kinsoku/>
        <w:wordWrap/>
        <w:overflowPunct/>
        <w:topLinePunct w:val="0"/>
        <w:bidi w:val="0"/>
        <w:spacing w:line="560" w:lineRule="exact"/>
        <w:ind w:leftChars="0"/>
        <w:jc w:val="righ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202</w:t>
      </w:r>
      <w:r>
        <w:rPr>
          <w:rFonts w:hint="eastAsia" w:asciiTheme="minorEastAsia" w:hAnsiTheme="minorEastAsia" w:eastAsiaTheme="minorEastAsia" w:cstheme="minorEastAsia"/>
          <w:color w:val="auto"/>
          <w:sz w:val="28"/>
          <w:szCs w:val="28"/>
          <w:u w:val="none"/>
          <w:lang w:val="en-US" w:eastAsia="zh-CN"/>
        </w:rPr>
        <w:t>2</w:t>
      </w:r>
      <w:r>
        <w:rPr>
          <w:rFonts w:hint="eastAsia" w:asciiTheme="minorEastAsia" w:hAnsiTheme="minorEastAsia" w:eastAsia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u w:val="none"/>
          <w:lang w:val="en-US" w:eastAsia="zh-CN"/>
        </w:rPr>
        <w:t>4</w:t>
      </w:r>
      <w:r>
        <w:rPr>
          <w:rFonts w:hint="eastAsia" w:asciiTheme="minorEastAsia" w:hAnsiTheme="minorEastAsia" w:eastAsiaTheme="minorEastAsia" w:cstheme="minorEastAsia"/>
          <w:color w:val="auto"/>
          <w:sz w:val="28"/>
          <w:szCs w:val="28"/>
          <w:lang w:val="en-US" w:eastAsia="zh-CN"/>
        </w:rPr>
        <w:t xml:space="preserve"> 月 26</w:t>
      </w:r>
      <w:bookmarkStart w:id="1" w:name="_GoBack"/>
      <w:bookmarkEnd w:id="1"/>
      <w:r>
        <w:rPr>
          <w:rFonts w:hint="eastAsia" w:asciiTheme="minorEastAsia" w:hAnsiTheme="minorEastAsia" w:eastAsiaTheme="minorEastAsia" w:cstheme="minorEastAsia"/>
          <w:color w:val="auto"/>
          <w:sz w:val="28"/>
          <w:szCs w:val="28"/>
          <w:lang w:val="en-US" w:eastAsia="zh-CN"/>
        </w:rPr>
        <w:t xml:space="preserve"> 日</w:t>
      </w:r>
    </w:p>
    <w:p>
      <w:pPr>
        <w:pStyle w:val="5"/>
        <w:keepNext w:val="0"/>
        <w:keepLines w:val="0"/>
        <w:pageBreakBefore w:val="0"/>
        <w:kinsoku/>
        <w:wordWrap/>
        <w:overflowPunct/>
        <w:topLinePunct w:val="0"/>
        <w:bidi w:val="0"/>
        <w:spacing w:line="560" w:lineRule="exact"/>
        <w:jc w:val="right"/>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bidi w:val="0"/>
        <w:spacing w:line="560" w:lineRule="exact"/>
        <w:outlineLvl w:val="1"/>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bidi w:val="0"/>
        <w:spacing w:line="560" w:lineRule="exac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34535"/>
    <w:rsid w:val="04A34535"/>
    <w:rsid w:val="06365F0B"/>
    <w:rsid w:val="124742E8"/>
    <w:rsid w:val="17307D14"/>
    <w:rsid w:val="19381B61"/>
    <w:rsid w:val="1C3F5A24"/>
    <w:rsid w:val="22666181"/>
    <w:rsid w:val="27CE33C6"/>
    <w:rsid w:val="28855749"/>
    <w:rsid w:val="28DB7E7F"/>
    <w:rsid w:val="29B926C8"/>
    <w:rsid w:val="2DC94919"/>
    <w:rsid w:val="2E777978"/>
    <w:rsid w:val="33A93A3D"/>
    <w:rsid w:val="40E519D3"/>
    <w:rsid w:val="51110DCC"/>
    <w:rsid w:val="5EC55E79"/>
    <w:rsid w:val="750E4037"/>
    <w:rsid w:val="7AB0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rPr>
      <w:sz w:val="28"/>
    </w:rPr>
  </w:style>
  <w:style w:type="paragraph" w:styleId="3">
    <w:name w:val="Body Text Indent"/>
    <w:basedOn w:val="1"/>
    <w:unhideWhenUsed/>
    <w:qFormat/>
    <w:uiPriority w:val="99"/>
    <w:pPr>
      <w:spacing w:after="120"/>
      <w:ind w:left="420" w:leftChars="200"/>
    </w:pPr>
  </w:style>
  <w:style w:type="paragraph" w:styleId="4">
    <w:name w:val="Plain Text"/>
    <w:basedOn w:val="1"/>
    <w:qFormat/>
    <w:uiPriority w:val="0"/>
    <w:rPr>
      <w:rFonts w:ascii="宋体" w:hAnsi="Courier New" w:eastAsiaTheme="minorEastAsia" w:cstheme="minorBidi"/>
      <w:szCs w:val="22"/>
    </w:rPr>
  </w:style>
  <w:style w:type="paragraph" w:styleId="5">
    <w:name w:val="Body Text First Indent 2"/>
    <w:basedOn w:val="3"/>
    <w:qFormat/>
    <w:uiPriority w:val="0"/>
    <w:pPr>
      <w:ind w:firstLine="420" w:firstLineChars="200"/>
    </w:pPr>
    <w:rPr>
      <w:kern w:val="0"/>
      <w:sz w:val="20"/>
      <w:szCs w:val="20"/>
    </w:rPr>
  </w:style>
  <w:style w:type="character" w:styleId="8">
    <w:name w:val="Strong"/>
    <w:qFormat/>
    <w:uiPriority w:val="0"/>
    <w:rPr>
      <w:b/>
      <w:bCs/>
    </w:rPr>
  </w:style>
  <w:style w:type="paragraph" w:customStyle="1" w:styleId="9">
    <w:name w:val="Normal Indent1"/>
    <w:basedOn w:val="1"/>
    <w:qFormat/>
    <w:uiPriority w:val="0"/>
    <w:rPr>
      <w:rFonts w:ascii="Calibri" w:hAnsi="Calibri"/>
    </w:rPr>
  </w:style>
  <w:style w:type="paragraph" w:customStyle="1" w:styleId="10">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12">
    <w:name w:val="x4"/>
    <w:qFormat/>
    <w:uiPriority w:val="0"/>
    <w:pPr>
      <w:widowControl w:val="0"/>
      <w:autoSpaceDE w:val="0"/>
      <w:autoSpaceDN w:val="0"/>
      <w:adjustRightInd w:val="0"/>
      <w:snapToGrid w:val="0"/>
      <w:ind w:firstLine="200" w:firstLineChars="200"/>
      <w:jc w:val="both"/>
      <w:textAlignment w:val="bottom"/>
    </w:pPr>
    <w:rPr>
      <w:rFonts w:ascii="Calibri" w:hAnsi="Calibri" w:eastAsia="宋体" w:cs="Times New Roman"/>
      <w:spacing w:val="14"/>
      <w:kern w:val="0"/>
      <w:sz w:val="24"/>
      <w:szCs w:val="20"/>
      <w:lang w:val="en-US" w:eastAsia="zh-CN" w:bidi="ar-SA"/>
    </w:rPr>
  </w:style>
  <w:style w:type="paragraph" w:customStyle="1" w:styleId="13">
    <w:name w:val="肖3"/>
    <w:basedOn w:val="1"/>
    <w:qFormat/>
    <w:uiPriority w:val="0"/>
    <w:pPr>
      <w:widowControl/>
      <w:ind w:firstLine="567"/>
      <w:jc w:val="left"/>
    </w:pPr>
    <w:rPr>
      <w:rFonts w:ascii="宋体" w:hAnsi="宋体"/>
      <w:color w:val="000000"/>
      <w:kern w:val="0"/>
      <w:sz w:val="2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15824</Words>
  <Characters>17807</Characters>
  <Lines>0</Lines>
  <Paragraphs>0</Paragraphs>
  <TotalTime>134</TotalTime>
  <ScaleCrop>false</ScaleCrop>
  <LinksUpToDate>false</LinksUpToDate>
  <CharactersWithSpaces>18215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2021-11-24T08:22:00Z</dcterms:created>
  <dc:creator>Lenovo</dc:creator>
  <cp:lastModifiedBy>张璟</cp:lastModifiedBy>
  <cp:lastPrinted>2022-04-10T10:36:00Z</cp:lastPrinted>
  <dcterms:modified xsi:type="dcterms:W3CDTF">2022-04-26T04:28:12Z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464332796BC8440AA549754C6E3DE81F</vt:lpwstr>
  </property>
</Properties>
</file>