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36"/>
        </w:rPr>
      </w:pPr>
    </w:p>
    <w:p>
      <w:pPr>
        <w:jc w:val="center"/>
        <w:rPr>
          <w:rFonts w:ascii="微软雅黑" w:hAnsi="微软雅黑" w:eastAsia="微软雅黑"/>
          <w:sz w:val="40"/>
        </w:rPr>
      </w:pPr>
      <w:r>
        <w:rPr>
          <w:rFonts w:hint="eastAsia" w:ascii="微软雅黑" w:hAnsi="微软雅黑" w:eastAsia="微软雅黑"/>
          <w:sz w:val="40"/>
        </w:rPr>
        <w:t>福建省平潭及闽江口水资源配置工程朝阳~苍霞改线段爆破施工对周边500KVA高压线路设施安全影响评估项目</w:t>
      </w:r>
    </w:p>
    <w:p>
      <w:pPr>
        <w:jc w:val="center"/>
        <w:rPr>
          <w:rFonts w:ascii="微软雅黑" w:hAnsi="微软雅黑" w:eastAsia="微软雅黑"/>
          <w:sz w:val="36"/>
        </w:rPr>
      </w:pPr>
    </w:p>
    <w:p>
      <w:pPr>
        <w:jc w:val="center"/>
        <w:rPr>
          <w:rFonts w:ascii="微软雅黑" w:hAnsi="微软雅黑" w:eastAsia="微软雅黑"/>
          <w:sz w:val="36"/>
        </w:rPr>
      </w:pPr>
    </w:p>
    <w:p>
      <w:pPr>
        <w:jc w:val="center"/>
        <w:rPr>
          <w:rFonts w:ascii="微软雅黑" w:hAnsi="微软雅黑" w:eastAsia="微软雅黑"/>
          <w:sz w:val="36"/>
        </w:rPr>
      </w:pPr>
    </w:p>
    <w:p>
      <w:pPr>
        <w:jc w:val="center"/>
        <w:rPr>
          <w:rFonts w:ascii="微软雅黑" w:hAnsi="微软雅黑" w:eastAsia="微软雅黑"/>
          <w:sz w:val="36"/>
        </w:rPr>
      </w:pPr>
      <w:r>
        <w:rPr>
          <w:rFonts w:hint="eastAsia" w:ascii="微软雅黑" w:hAnsi="微软雅黑" w:eastAsia="微软雅黑"/>
          <w:sz w:val="36"/>
        </w:rPr>
        <w:t>询</w:t>
      </w:r>
    </w:p>
    <w:p>
      <w:pPr>
        <w:jc w:val="center"/>
        <w:rPr>
          <w:rFonts w:ascii="微软雅黑" w:hAnsi="微软雅黑" w:eastAsia="微软雅黑"/>
          <w:sz w:val="36"/>
        </w:rPr>
      </w:pPr>
      <w:r>
        <w:rPr>
          <w:rFonts w:hint="eastAsia" w:ascii="微软雅黑" w:hAnsi="微软雅黑" w:eastAsia="微软雅黑"/>
          <w:sz w:val="36"/>
        </w:rPr>
        <w:t>价</w:t>
      </w:r>
    </w:p>
    <w:p>
      <w:pPr>
        <w:jc w:val="center"/>
        <w:rPr>
          <w:rFonts w:ascii="微软雅黑" w:hAnsi="微软雅黑" w:eastAsia="微软雅黑"/>
          <w:sz w:val="36"/>
        </w:rPr>
      </w:pPr>
      <w:r>
        <w:rPr>
          <w:rFonts w:hint="eastAsia" w:ascii="微软雅黑" w:hAnsi="微软雅黑" w:eastAsia="微软雅黑"/>
          <w:sz w:val="36"/>
        </w:rPr>
        <w:t>函</w:t>
      </w: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8"/>
        </w:rPr>
      </w:pPr>
      <w:r>
        <w:rPr>
          <w:rFonts w:hint="eastAsia" w:ascii="微软雅黑" w:hAnsi="微软雅黑" w:eastAsia="微软雅黑"/>
          <w:sz w:val="28"/>
        </w:rPr>
        <w:t>询价单位：福州水务平潭引水开发有限公司</w:t>
      </w:r>
    </w:p>
    <w:p>
      <w:pPr>
        <w:rPr>
          <w:rFonts w:ascii="微软雅黑" w:hAnsi="微软雅黑" w:eastAsia="微软雅黑"/>
          <w:sz w:val="28"/>
        </w:rPr>
      </w:pPr>
      <w:r>
        <w:rPr>
          <w:rFonts w:hint="eastAsia" w:ascii="微软雅黑" w:hAnsi="微软雅黑" w:eastAsia="微软雅黑"/>
          <w:sz w:val="28"/>
        </w:rPr>
        <w:t>询价编号：XJ-2022-19</w:t>
      </w:r>
    </w:p>
    <w:p>
      <w:pPr>
        <w:rPr>
          <w:rFonts w:ascii="微软雅黑" w:hAnsi="微软雅黑" w:eastAsia="微软雅黑"/>
          <w:sz w:val="28"/>
        </w:rPr>
      </w:pPr>
      <w:r>
        <w:rPr>
          <w:rFonts w:hint="eastAsia" w:ascii="微软雅黑" w:hAnsi="微软雅黑" w:eastAsia="微软雅黑"/>
          <w:sz w:val="28"/>
        </w:rPr>
        <w:t>联系电话：0591-87867621</w:t>
      </w:r>
    </w:p>
    <w:p>
      <w:pPr>
        <w:rPr>
          <w:rFonts w:ascii="微软雅黑" w:hAnsi="微软雅黑" w:eastAsia="微软雅黑"/>
          <w:sz w:val="28"/>
        </w:rPr>
      </w:pPr>
      <w:r>
        <w:rPr>
          <w:rFonts w:hint="eastAsia" w:ascii="微软雅黑" w:hAnsi="微软雅黑" w:eastAsia="微软雅黑"/>
          <w:sz w:val="28"/>
        </w:rPr>
        <w:t>联系地址：福建省福州市晋安区龙安路369号中辉大厦12层</w:t>
      </w:r>
    </w:p>
    <w:p>
      <w:pPr>
        <w:rPr>
          <w:rFonts w:ascii="微软雅黑" w:hAnsi="微软雅黑" w:eastAsia="微软雅黑"/>
          <w:sz w:val="28"/>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sz w:val="28"/>
        </w:rPr>
        <w:t>日期：2022年6月</w:t>
      </w:r>
      <w:r>
        <w:rPr>
          <w:rFonts w:hint="eastAsia" w:ascii="微软雅黑" w:hAnsi="微软雅黑" w:eastAsia="微软雅黑"/>
          <w:sz w:val="28"/>
          <w:lang w:val="en-US" w:eastAsia="zh-CN"/>
        </w:rPr>
        <w:t>30</w:t>
      </w:r>
      <w:r>
        <w:rPr>
          <w:rFonts w:hint="eastAsia" w:ascii="微软雅黑" w:hAnsi="微软雅黑" w:eastAsia="微软雅黑"/>
          <w:sz w:val="28"/>
        </w:rPr>
        <w:t>日</w:t>
      </w:r>
    </w:p>
    <w:p>
      <w:pPr>
        <w:rPr>
          <w:rFonts w:ascii="黑体" w:hAnsi="宋体" w:eastAsia="黑体"/>
          <w:b/>
          <w:sz w:val="44"/>
          <w:szCs w:val="44"/>
        </w:rPr>
      </w:pPr>
    </w:p>
    <w:p>
      <w:pPr>
        <w:jc w:val="center"/>
        <w:rPr>
          <w:rFonts w:ascii="仿宋" w:hAnsi="仿宋" w:eastAsia="仿宋" w:cs="仿宋"/>
          <w:bCs/>
          <w:color w:val="595959"/>
          <w:sz w:val="28"/>
          <w:szCs w:val="28"/>
        </w:rPr>
      </w:pPr>
      <w:r>
        <w:rPr>
          <w:rFonts w:hint="eastAsia" w:ascii="黑体" w:hAnsi="宋体" w:eastAsia="黑体"/>
          <w:b/>
          <w:sz w:val="44"/>
          <w:szCs w:val="44"/>
        </w:rPr>
        <w:t>询价邀请函</w:t>
      </w:r>
    </w:p>
    <w:p>
      <w:pPr>
        <w:spacing w:line="500" w:lineRule="exact"/>
        <w:ind w:firstLine="480" w:firstLineChars="200"/>
        <w:rPr>
          <w:rFonts w:cs="仿宋" w:asciiTheme="minorEastAsia" w:hAnsiTheme="minorEastAsia" w:eastAsiaTheme="minorEastAsia"/>
          <w:bCs/>
          <w:sz w:val="24"/>
        </w:rPr>
      </w:pPr>
      <w:bookmarkStart w:id="0" w:name="_GoBack"/>
      <w:r>
        <w:rPr>
          <w:rFonts w:hint="eastAsia" w:cs="仿宋" w:asciiTheme="minorEastAsia" w:hAnsiTheme="minorEastAsia" w:eastAsiaTheme="minorEastAsia"/>
          <w:bCs/>
          <w:sz w:val="24"/>
        </w:rPr>
        <w:t>我方因福建省平潭及闽江口水资源配置工程需要，现对该工程朝阳~苍霞改线段爆破施工对周边500KVA高压线路设施安全影响评估项目进行询价。</w:t>
      </w:r>
    </w:p>
    <w:p>
      <w:pPr>
        <w:spacing w:line="500" w:lineRule="exact"/>
        <w:ind w:firstLine="480" w:firstLineChars="200"/>
        <w:jc w:val="left"/>
        <w:rPr>
          <w:rFonts w:cs="仿宋" w:asciiTheme="minorEastAsia" w:hAnsiTheme="minorEastAsia" w:eastAsiaTheme="minorEastAsia"/>
          <w:bCs/>
          <w:sz w:val="24"/>
        </w:rPr>
      </w:pPr>
      <w:r>
        <w:rPr>
          <w:rFonts w:hint="eastAsia" w:cs="仿宋" w:asciiTheme="minorEastAsia" w:hAnsiTheme="minorEastAsia" w:eastAsiaTheme="minorEastAsia"/>
          <w:bCs/>
          <w:sz w:val="24"/>
        </w:rPr>
        <w:t>一、报价方式：受邀请的报价人，以传真或邮件形式报价（邮件须为</w:t>
      </w:r>
      <w:r>
        <w:rPr>
          <w:rFonts w:hint="eastAsia" w:ascii="宋体" w:hAnsi="宋体"/>
          <w:sz w:val="24"/>
        </w:rPr>
        <w:t>原件彩色扫描件</w:t>
      </w:r>
      <w:r>
        <w:rPr>
          <w:rFonts w:hint="eastAsia" w:cs="仿宋" w:asciiTheme="minorEastAsia" w:hAnsiTheme="minorEastAsia" w:eastAsiaTheme="minorEastAsia"/>
          <w:bCs/>
          <w:sz w:val="24"/>
        </w:rPr>
        <w:t>）。截止时间：2022年7月8日；在此时段后报价均无效 。</w:t>
      </w:r>
    </w:p>
    <w:p>
      <w:pPr>
        <w:spacing w:line="500" w:lineRule="exact"/>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二、工作范围和内容：</w:t>
      </w:r>
    </w:p>
    <w:p>
      <w:pPr>
        <w:spacing w:line="500" w:lineRule="exact"/>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1、编制福建省平潭及闽江口水资源配置工程朝阳～苍霞改线段工程500kva高压线保护范围内爆破施工安全影响评估报告，并组织通过专家审查论证会。配合完成爆破施工审批工作。</w:t>
      </w:r>
    </w:p>
    <w:p>
      <w:pPr>
        <w:spacing w:line="500" w:lineRule="exact"/>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2、受托方需为具有甲级电力资质的设计咨询单位。</w:t>
      </w:r>
    </w:p>
    <w:p>
      <w:pPr>
        <w:numPr>
          <w:ilvl w:val="0"/>
          <w:numId w:val="1"/>
        </w:numPr>
        <w:spacing w:line="500" w:lineRule="exact"/>
        <w:ind w:firstLine="480" w:firstLineChars="200"/>
        <w:rPr>
          <w:rFonts w:hint="eastAsia" w:cs="仿宋" w:asciiTheme="minorEastAsia" w:hAnsiTheme="minorEastAsia" w:eastAsiaTheme="minorEastAsia"/>
          <w:bCs/>
          <w:sz w:val="24"/>
        </w:rPr>
      </w:pPr>
      <w:r>
        <w:rPr>
          <w:rFonts w:hint="eastAsia" w:cs="仿宋" w:asciiTheme="minorEastAsia" w:hAnsiTheme="minorEastAsia" w:eastAsiaTheme="minorEastAsia"/>
          <w:bCs/>
          <w:sz w:val="24"/>
        </w:rPr>
        <w:t>工期要求：受托方应在合同签订之日起，在取得委托方提供的项目技术资料后30日内提交以上工作内容的安全风险评估报告送审稿，后续根据委托方要求修改完善后提交评审稿，使本报告达到合同规定的要求，并经相关行政主管部门审查通过后，得到批复函。</w:t>
      </w:r>
    </w:p>
    <w:p>
      <w:pPr>
        <w:numPr>
          <w:ilvl w:val="0"/>
          <w:numId w:val="1"/>
        </w:numPr>
        <w:spacing w:line="500" w:lineRule="exact"/>
        <w:ind w:firstLine="480" w:firstLineChars="200"/>
        <w:rPr>
          <w:rFonts w:hint="eastAsia" w:cs="仿宋" w:asciiTheme="minorEastAsia" w:hAnsiTheme="minorEastAsia" w:eastAsiaTheme="minorEastAsia"/>
          <w:bCs/>
          <w:sz w:val="24"/>
        </w:rPr>
      </w:pPr>
      <w:r>
        <w:rPr>
          <w:rFonts w:hint="eastAsia" w:cs="仿宋" w:asciiTheme="minorEastAsia" w:hAnsiTheme="minorEastAsia" w:eastAsiaTheme="minorEastAsia"/>
          <w:bCs/>
          <w:sz w:val="24"/>
        </w:rPr>
        <w:t>成果验收标准</w:t>
      </w:r>
    </w:p>
    <w:p>
      <w:pPr>
        <w:spacing w:line="500" w:lineRule="exact"/>
        <w:rPr>
          <w:rFonts w:cs="仿宋" w:asciiTheme="minorEastAsia" w:hAnsiTheme="minorEastAsia" w:eastAsiaTheme="minorEastAsia"/>
          <w:bCs/>
          <w:sz w:val="24"/>
        </w:rPr>
      </w:pPr>
      <w:r>
        <w:rPr>
          <w:rFonts w:hint="eastAsia" w:cs="仿宋" w:asciiTheme="minorEastAsia" w:hAnsiTheme="minorEastAsia" w:eastAsiaTheme="minorEastAsia"/>
          <w:bCs/>
          <w:sz w:val="24"/>
        </w:rPr>
        <w:t xml:space="preserve">    受托方提交的成果需经相关行政主管部门审查通过并得到批复函方视为验收合格。</w:t>
      </w:r>
    </w:p>
    <w:p>
      <w:pPr>
        <w:spacing w:line="500" w:lineRule="exact"/>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五、付款方式：合同生效后10个工作日内支付合同价款的30％；本项目安全影响评估报告经相关行政主管部门</w:t>
      </w:r>
      <w:r>
        <w:rPr>
          <w:rFonts w:cs="仿宋" w:asciiTheme="minorEastAsia" w:hAnsiTheme="minorEastAsia" w:eastAsiaTheme="minorEastAsia"/>
          <w:bCs/>
          <w:sz w:val="24"/>
        </w:rPr>
        <w:t>审查通过并得到批复函后</w:t>
      </w:r>
      <w:r>
        <w:rPr>
          <w:rFonts w:hint="eastAsia" w:cs="仿宋" w:asciiTheme="minorEastAsia" w:hAnsiTheme="minorEastAsia" w:eastAsiaTheme="minorEastAsia"/>
          <w:bCs/>
          <w:sz w:val="24"/>
        </w:rPr>
        <w:t>10个工作日</w:t>
      </w:r>
      <w:r>
        <w:rPr>
          <w:rFonts w:hint="eastAsia" w:ascii="宋体" w:hAnsi="宋体"/>
          <w:kern w:val="0"/>
          <w:sz w:val="24"/>
        </w:rPr>
        <w:t>内，一次性付清余款</w:t>
      </w:r>
      <w:r>
        <w:rPr>
          <w:rFonts w:hint="eastAsia" w:cs="仿宋" w:asciiTheme="minorEastAsia" w:hAnsiTheme="minorEastAsia" w:eastAsiaTheme="minorEastAsia"/>
          <w:bCs/>
          <w:sz w:val="24"/>
        </w:rPr>
        <w:t>。付款前收款方需提交相应增值税专用发票。</w:t>
      </w:r>
    </w:p>
    <w:p>
      <w:pPr>
        <w:spacing w:line="500" w:lineRule="exact"/>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六、联系方式：</w:t>
      </w:r>
    </w:p>
    <w:p>
      <w:pPr>
        <w:spacing w:line="500" w:lineRule="exact"/>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1、联系人：翁晨冰；</w:t>
      </w:r>
    </w:p>
    <w:p>
      <w:pPr>
        <w:spacing w:line="500" w:lineRule="exact"/>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2、联系电话：0591-87867621</w:t>
      </w:r>
    </w:p>
    <w:p>
      <w:pPr>
        <w:spacing w:line="500" w:lineRule="exact"/>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3、传真： 0591—87888761</w:t>
      </w:r>
    </w:p>
    <w:p>
      <w:pPr>
        <w:spacing w:line="500" w:lineRule="exact"/>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4、邮箱：1004431533@qq.com。</w:t>
      </w:r>
    </w:p>
    <w:p>
      <w:pPr>
        <w:spacing w:line="500" w:lineRule="exact"/>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七、报价说明：</w:t>
      </w:r>
    </w:p>
    <w:p>
      <w:pPr>
        <w:spacing w:line="500" w:lineRule="exact"/>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1、本项目要求报价单位具备有效的独立法人资格；</w:t>
      </w:r>
    </w:p>
    <w:p>
      <w:pPr>
        <w:spacing w:line="500" w:lineRule="exact"/>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2、接受询价单位请结合国家相关咨询收费标准，根据以上工作内容自主做出报价，其报价应包含本单位管理费、利润、税费、技术咨询费、技术人员往返项目现场的交通费和差旅费、专家费、会务费、评审费等。</w:t>
      </w:r>
    </w:p>
    <w:p>
      <w:pPr>
        <w:spacing w:line="500" w:lineRule="exact"/>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3、</w:t>
      </w:r>
      <w:r>
        <w:rPr>
          <w:rFonts w:hint="eastAsia" w:cs="仿宋" w:asciiTheme="minorEastAsia" w:hAnsiTheme="minorEastAsia" w:eastAsiaTheme="minorEastAsia"/>
          <w:b/>
          <w:bCs/>
          <w:sz w:val="24"/>
        </w:rPr>
        <w:t>本项目最高限价为49.8万元整，报价不得超过最高限价。</w:t>
      </w:r>
      <w:r>
        <w:rPr>
          <w:rFonts w:hint="eastAsia" w:cs="仿宋" w:asciiTheme="minorEastAsia" w:hAnsiTheme="minorEastAsia" w:eastAsiaTheme="minorEastAsia"/>
          <w:bCs/>
          <w:sz w:val="24"/>
        </w:rPr>
        <w:t>接受询价单位必须承诺能够配备足够的、经验丰富的相关专业技术人员，确保工作服务内容按期完成，并结合单位自身实力、本项目工作内容、风险特性等相关内容进行最优报价，接受询价单位一经选择确定为该项目服务单位，其报价将作为最终服务合同价，不再另行调整。</w:t>
      </w:r>
    </w:p>
    <w:p>
      <w:pPr>
        <w:spacing w:line="500" w:lineRule="exact"/>
        <w:ind w:firstLine="480" w:firstLineChars="200"/>
        <w:rPr>
          <w:rFonts w:cs="仿宋" w:asciiTheme="minorEastAsia" w:hAnsiTheme="minorEastAsia" w:eastAsiaTheme="minorEastAsia"/>
          <w:bCs/>
          <w:sz w:val="24"/>
          <w:highlight w:val="yellow"/>
        </w:rPr>
      </w:pPr>
      <w:r>
        <w:rPr>
          <w:rFonts w:hint="eastAsia" w:cs="仿宋" w:asciiTheme="minorEastAsia" w:hAnsiTheme="minorEastAsia" w:eastAsiaTheme="minorEastAsia"/>
          <w:bCs/>
          <w:sz w:val="24"/>
        </w:rPr>
        <w:t>4、报价文件按以下资料提交：</w:t>
      </w:r>
    </w:p>
    <w:p>
      <w:pPr>
        <w:spacing w:line="500" w:lineRule="exact"/>
        <w:ind w:firstLine="480" w:firstLineChars="200"/>
        <w:jc w:val="left"/>
        <w:rPr>
          <w:rFonts w:ascii="华文宋体" w:hAnsi="华文宋体" w:eastAsia="华文宋体"/>
          <w:sz w:val="24"/>
        </w:rPr>
      </w:pPr>
      <w:r>
        <w:rPr>
          <w:rFonts w:hint="eastAsia" w:ascii="华文宋体" w:hAnsi="华文宋体" w:eastAsia="华文宋体"/>
          <w:sz w:val="24"/>
        </w:rPr>
        <w:t>（1）</w:t>
      </w:r>
      <w:r>
        <w:rPr>
          <w:rFonts w:hint="eastAsia" w:ascii="宋体" w:hAnsi="宋体" w:cs="宋体"/>
          <w:sz w:val="24"/>
        </w:rPr>
        <w:t>福建省平潭及闽江口水资源配置（一闸三线）工程项目</w:t>
      </w:r>
      <w:r>
        <w:rPr>
          <w:rFonts w:hint="eastAsia" w:cs="仿宋" w:asciiTheme="minorEastAsia" w:hAnsiTheme="minorEastAsia"/>
          <w:bCs/>
          <w:sz w:val="24"/>
        </w:rPr>
        <w:t>报价承诺函及报价表</w:t>
      </w:r>
      <w:r>
        <w:rPr>
          <w:rFonts w:hint="eastAsia" w:ascii="华文宋体" w:hAnsi="华文宋体" w:eastAsia="华文宋体"/>
          <w:sz w:val="24"/>
        </w:rPr>
        <w:t>（附件一）</w:t>
      </w:r>
    </w:p>
    <w:p>
      <w:pPr>
        <w:spacing w:line="500" w:lineRule="exact"/>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 xml:space="preserve">（2）项目负责人证件 </w:t>
      </w:r>
    </w:p>
    <w:p>
      <w:pPr>
        <w:spacing w:line="500" w:lineRule="exact"/>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（3）其他相关资料（营业执照、资质证书等）</w:t>
      </w:r>
    </w:p>
    <w:p>
      <w:pPr>
        <w:spacing w:line="500" w:lineRule="exact"/>
        <w:ind w:firstLine="480" w:firstLineChars="200"/>
        <w:rPr>
          <w:rFonts w:cs="仿宋" w:asciiTheme="minorEastAsia" w:hAnsiTheme="minorEastAsia" w:eastAsiaTheme="minorEastAsia"/>
          <w:bCs/>
          <w:sz w:val="24"/>
        </w:rPr>
      </w:pPr>
    </w:p>
    <w:p>
      <w:pPr>
        <w:spacing w:line="500" w:lineRule="exact"/>
        <w:ind w:firstLine="480" w:firstLineChars="200"/>
        <w:rPr>
          <w:rFonts w:cs="仿宋" w:asciiTheme="minorEastAsia" w:hAnsiTheme="minorEastAsia" w:eastAsiaTheme="minorEastAsia"/>
          <w:bCs/>
          <w:sz w:val="24"/>
        </w:rPr>
      </w:pPr>
    </w:p>
    <w:p>
      <w:pPr>
        <w:spacing w:line="500" w:lineRule="exact"/>
        <w:ind w:firstLine="480" w:firstLineChars="200"/>
        <w:jc w:val="right"/>
        <w:rPr>
          <w:rFonts w:cs="仿宋" w:asciiTheme="minorEastAsia" w:hAnsiTheme="minorEastAsia" w:eastAsiaTheme="minorEastAsia"/>
          <w:bCs/>
          <w:sz w:val="24"/>
        </w:rPr>
      </w:pPr>
    </w:p>
    <w:p>
      <w:pPr>
        <w:spacing w:line="500" w:lineRule="exact"/>
        <w:ind w:firstLine="480" w:firstLineChars="200"/>
        <w:jc w:val="right"/>
        <w:rPr>
          <w:rFonts w:cs="仿宋" w:asciiTheme="minorEastAsia" w:hAnsiTheme="minorEastAsia" w:eastAsiaTheme="minorEastAsia"/>
          <w:bCs/>
          <w:sz w:val="24"/>
        </w:rPr>
      </w:pPr>
    </w:p>
    <w:p>
      <w:pPr>
        <w:spacing w:line="500" w:lineRule="exact"/>
        <w:ind w:firstLine="480" w:firstLineChars="200"/>
        <w:jc w:val="right"/>
        <w:rPr>
          <w:rFonts w:cs="仿宋" w:asciiTheme="minorEastAsia" w:hAnsiTheme="minorEastAsia" w:eastAsiaTheme="minorEastAsia"/>
          <w:bCs/>
          <w:sz w:val="24"/>
        </w:rPr>
      </w:pPr>
    </w:p>
    <w:p>
      <w:pPr>
        <w:spacing w:line="500" w:lineRule="exact"/>
        <w:ind w:firstLine="480" w:firstLineChars="200"/>
        <w:jc w:val="right"/>
        <w:rPr>
          <w:rFonts w:cs="仿宋" w:asciiTheme="minorEastAsia" w:hAnsiTheme="minorEastAsia" w:eastAsiaTheme="minorEastAsia"/>
          <w:bCs/>
          <w:sz w:val="24"/>
        </w:rPr>
      </w:pPr>
      <w:r>
        <w:rPr>
          <w:rFonts w:hint="eastAsia" w:cs="仿宋" w:asciiTheme="minorEastAsia" w:hAnsiTheme="minorEastAsia" w:eastAsiaTheme="minorEastAsia"/>
          <w:bCs/>
          <w:sz w:val="24"/>
        </w:rPr>
        <w:t xml:space="preserve"> 福州水务平潭引水开发有限公司</w:t>
      </w:r>
    </w:p>
    <w:p>
      <w:pPr>
        <w:spacing w:line="500" w:lineRule="exact"/>
        <w:ind w:firstLine="480" w:firstLineChars="200"/>
        <w:jc w:val="right"/>
        <w:rPr>
          <w:rFonts w:cs="仿宋" w:asciiTheme="minorEastAsia" w:hAnsiTheme="minorEastAsia" w:eastAsiaTheme="minorEastAsia"/>
          <w:bCs/>
          <w:sz w:val="24"/>
        </w:rPr>
      </w:pPr>
      <w:r>
        <w:rPr>
          <w:rFonts w:cs="仿宋" w:asciiTheme="minorEastAsia" w:hAnsiTheme="minorEastAsia" w:eastAsiaTheme="minorEastAsia"/>
          <w:bCs/>
          <w:sz w:val="24"/>
        </w:rPr>
        <w:t>20</w:t>
      </w:r>
      <w:r>
        <w:rPr>
          <w:rFonts w:hint="eastAsia" w:cs="仿宋" w:asciiTheme="minorEastAsia" w:hAnsiTheme="minorEastAsia" w:eastAsiaTheme="minorEastAsia"/>
          <w:bCs/>
          <w:sz w:val="24"/>
        </w:rPr>
        <w:t>22年6月</w:t>
      </w:r>
      <w:r>
        <w:rPr>
          <w:rFonts w:hint="eastAsia" w:cs="仿宋" w:asciiTheme="minorEastAsia" w:hAnsiTheme="minorEastAsia" w:eastAsiaTheme="minorEastAsia"/>
          <w:bCs/>
          <w:sz w:val="24"/>
          <w:lang w:val="en-US" w:eastAsia="zh-CN"/>
        </w:rPr>
        <w:t>30</w:t>
      </w:r>
      <w:r>
        <w:rPr>
          <w:rFonts w:hint="eastAsia" w:cs="仿宋" w:asciiTheme="minorEastAsia" w:hAnsiTheme="minorEastAsia" w:eastAsiaTheme="minorEastAsia"/>
          <w:bCs/>
          <w:sz w:val="24"/>
        </w:rPr>
        <w:t>日</w:t>
      </w:r>
    </w:p>
    <w:p>
      <w:pPr>
        <w:spacing w:line="500" w:lineRule="exact"/>
        <w:ind w:firstLine="480" w:firstLineChars="200"/>
        <w:rPr>
          <w:rFonts w:cs="仿宋" w:asciiTheme="minorEastAsia" w:hAnsiTheme="minorEastAsia" w:eastAsiaTheme="minorEastAsia"/>
          <w:bCs/>
          <w:sz w:val="24"/>
        </w:rPr>
      </w:pPr>
    </w:p>
    <w:bookmarkEnd w:id="0"/>
    <w:p>
      <w:pPr>
        <w:spacing w:line="360" w:lineRule="auto"/>
        <w:ind w:firstLine="480" w:firstLineChars="200"/>
        <w:rPr>
          <w:rFonts w:cs="仿宋" w:asciiTheme="minorEastAsia" w:hAnsiTheme="minorEastAsia" w:eastAsiaTheme="minorEastAsia"/>
          <w:bCs/>
          <w:sz w:val="24"/>
        </w:rPr>
        <w:sectPr>
          <w:pgSz w:w="11906" w:h="16838"/>
          <w:pgMar w:top="1440" w:right="1800" w:bottom="1440" w:left="1800" w:header="851" w:footer="992" w:gutter="0"/>
          <w:cols w:space="425" w:num="1"/>
          <w:docGrid w:type="lines" w:linePitch="312" w:charSpace="0"/>
        </w:sectPr>
      </w:pP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附件一：</w:t>
      </w:r>
    </w:p>
    <w:p>
      <w:pPr>
        <w:jc w:val="center"/>
        <w:rPr>
          <w:rFonts w:ascii="黑体" w:hAnsi="宋体" w:eastAsia="黑体"/>
          <w:b/>
          <w:sz w:val="44"/>
          <w:szCs w:val="44"/>
        </w:rPr>
      </w:pPr>
      <w:r>
        <w:rPr>
          <w:rFonts w:hint="eastAsia" w:ascii="黑体" w:hAnsi="宋体" w:eastAsia="黑体"/>
          <w:b/>
          <w:sz w:val="44"/>
          <w:szCs w:val="44"/>
        </w:rPr>
        <w:t>福建省平潭及闽江口水资源配置工程朝阳~苍霞改线段爆破施工对周边500KVA高压线路设施安全影响评估项目</w:t>
      </w:r>
    </w:p>
    <w:p>
      <w:pPr>
        <w:jc w:val="center"/>
        <w:rPr>
          <w:rFonts w:ascii="黑体" w:hAnsi="宋体" w:eastAsia="黑体"/>
          <w:b/>
          <w:sz w:val="44"/>
          <w:szCs w:val="44"/>
        </w:rPr>
      </w:pPr>
      <w:r>
        <w:rPr>
          <w:rFonts w:hint="eastAsia" w:ascii="黑体" w:hAnsi="宋体" w:eastAsia="黑体"/>
          <w:b/>
          <w:sz w:val="44"/>
          <w:szCs w:val="44"/>
        </w:rPr>
        <w:t>报价承诺函及报价表</w:t>
      </w:r>
    </w:p>
    <w:p>
      <w:pPr>
        <w:spacing w:line="360" w:lineRule="auto"/>
        <w:jc w:val="center"/>
        <w:rPr>
          <w:rFonts w:cs="仿宋" w:asciiTheme="minorEastAsia" w:hAnsiTheme="minorEastAsia" w:eastAsiaTheme="minorEastAsia"/>
          <w:bCs/>
          <w:sz w:val="24"/>
        </w:rPr>
      </w:pPr>
    </w:p>
    <w:p>
      <w:pPr>
        <w:rPr>
          <w:rFonts w:cs="仿宋" w:asciiTheme="minorEastAsia" w:hAnsiTheme="minorEastAsia" w:eastAsiaTheme="minorEastAsia"/>
          <w:bCs/>
          <w:sz w:val="28"/>
        </w:rPr>
      </w:pPr>
      <w:r>
        <w:rPr>
          <w:rFonts w:hint="eastAsia" w:cs="仿宋" w:asciiTheme="minorEastAsia" w:hAnsiTheme="minorEastAsia" w:eastAsiaTheme="minorEastAsia"/>
          <w:bCs/>
          <w:sz w:val="28"/>
        </w:rPr>
        <w:t>福州水务平潭引水开发有限公司：</w:t>
      </w:r>
    </w:p>
    <w:p>
      <w:pPr>
        <w:ind w:firstLine="560" w:firstLineChars="200"/>
        <w:rPr>
          <w:rFonts w:cs="仿宋" w:asciiTheme="minorEastAsia" w:hAnsiTheme="minorEastAsia" w:eastAsiaTheme="minorEastAsia"/>
          <w:bCs/>
          <w:sz w:val="28"/>
        </w:rPr>
      </w:pPr>
      <w:r>
        <w:rPr>
          <w:rFonts w:hint="eastAsia" w:cs="仿宋" w:asciiTheme="minorEastAsia" w:hAnsiTheme="minorEastAsia" w:eastAsiaTheme="minorEastAsia"/>
          <w:bCs/>
          <w:sz w:val="28"/>
        </w:rPr>
        <w:t>我单位已理解贵单位的项目情况与要求，同意按要求对福建省平潭及闽江口水资源配置工程朝阳~苍霞改线段爆破施工对周边500KVA高压线路设施安全影响评估项目进行报价，总报价为        万元，报价包含本单位管理费、利润、税费、技术咨询费、技术人员往返项目现场的交通费和差旅费、专家费、会务费、评审费等完成本项目工作所需的一切费用，并承诺我单位所提供的所有资料均真实、合法，近两年内没有不良记录。</w:t>
      </w:r>
    </w:p>
    <w:p>
      <w:pPr>
        <w:spacing w:line="360" w:lineRule="auto"/>
        <w:rPr>
          <w:rFonts w:cs="仿宋" w:asciiTheme="minorEastAsia" w:hAnsiTheme="minorEastAsia" w:eastAsiaTheme="minorEastAsia"/>
          <w:bCs/>
          <w:sz w:val="24"/>
        </w:rPr>
      </w:pPr>
    </w:p>
    <w:p>
      <w:pPr>
        <w:spacing w:line="360" w:lineRule="auto"/>
        <w:rPr>
          <w:rFonts w:cs="仿宋" w:asciiTheme="minorEastAsia" w:hAnsiTheme="minorEastAsia" w:eastAsiaTheme="minorEastAsia"/>
          <w:bCs/>
          <w:sz w:val="24"/>
        </w:rPr>
      </w:pPr>
    </w:p>
    <w:p>
      <w:pPr>
        <w:spacing w:line="360" w:lineRule="auto"/>
        <w:ind w:right="480" w:firstLine="960" w:firstLineChars="400"/>
        <w:rPr>
          <w:rFonts w:cs="仿宋" w:asciiTheme="minorEastAsia" w:hAnsiTheme="minorEastAsia" w:eastAsiaTheme="minorEastAsia"/>
          <w:bCs/>
          <w:sz w:val="24"/>
        </w:rPr>
      </w:pPr>
      <w:r>
        <w:rPr>
          <w:rFonts w:hint="eastAsia" w:cs="仿宋" w:asciiTheme="minorEastAsia" w:hAnsiTheme="minorEastAsia" w:eastAsiaTheme="minorEastAsia"/>
          <w:bCs/>
          <w:sz w:val="24"/>
        </w:rPr>
        <w:t>联系人：             联系电话：</w:t>
      </w:r>
    </w:p>
    <w:p>
      <w:pPr>
        <w:spacing w:line="360" w:lineRule="auto"/>
        <w:ind w:right="480" w:firstLine="960" w:firstLineChars="400"/>
        <w:rPr>
          <w:rFonts w:cs="仿宋" w:asciiTheme="minorEastAsia" w:hAnsiTheme="minorEastAsia" w:eastAsiaTheme="minorEastAsia"/>
          <w:bCs/>
          <w:sz w:val="24"/>
        </w:rPr>
      </w:pPr>
      <w:r>
        <w:rPr>
          <w:rFonts w:hint="eastAsia" w:cs="仿宋" w:asciiTheme="minorEastAsia" w:hAnsiTheme="minorEastAsia" w:eastAsiaTheme="minorEastAsia"/>
          <w:bCs/>
          <w:sz w:val="24"/>
        </w:rPr>
        <w:t>传  真：             邮    箱：</w:t>
      </w:r>
    </w:p>
    <w:p>
      <w:pPr>
        <w:spacing w:line="360" w:lineRule="auto"/>
        <w:rPr>
          <w:rFonts w:cs="仿宋" w:asciiTheme="minorEastAsia" w:hAnsiTheme="minorEastAsia" w:eastAsiaTheme="minorEastAsia"/>
          <w:bCs/>
          <w:sz w:val="24"/>
        </w:rPr>
      </w:pPr>
    </w:p>
    <w:p>
      <w:pPr>
        <w:spacing w:line="360" w:lineRule="auto"/>
        <w:rPr>
          <w:rFonts w:cs="仿宋" w:asciiTheme="minorEastAsia" w:hAnsiTheme="minorEastAsia" w:eastAsiaTheme="minorEastAsia"/>
          <w:bCs/>
          <w:sz w:val="24"/>
        </w:rPr>
      </w:pPr>
    </w:p>
    <w:p>
      <w:pPr>
        <w:spacing w:line="360" w:lineRule="auto"/>
        <w:rPr>
          <w:rFonts w:cs="仿宋" w:asciiTheme="minorEastAsia" w:hAnsiTheme="minorEastAsia" w:eastAsiaTheme="minorEastAsia"/>
          <w:bCs/>
          <w:sz w:val="24"/>
        </w:rPr>
      </w:pPr>
    </w:p>
    <w:p>
      <w:pPr>
        <w:spacing w:line="360" w:lineRule="auto"/>
        <w:ind w:firstLine="720" w:firstLineChars="300"/>
        <w:rPr>
          <w:rFonts w:cs="仿宋" w:asciiTheme="minorEastAsia" w:hAnsiTheme="minorEastAsia" w:eastAsiaTheme="minorEastAsia"/>
          <w:bCs/>
          <w:sz w:val="24"/>
        </w:rPr>
      </w:pPr>
    </w:p>
    <w:p>
      <w:pPr>
        <w:spacing w:line="360" w:lineRule="auto"/>
        <w:ind w:right="480" w:firstLine="3960" w:firstLineChars="1650"/>
        <w:rPr>
          <w:rFonts w:cs="仿宋" w:asciiTheme="minorEastAsia" w:hAnsiTheme="minorEastAsia" w:eastAsiaTheme="minorEastAsia"/>
          <w:bCs/>
          <w:sz w:val="24"/>
        </w:rPr>
      </w:pPr>
      <w:r>
        <w:rPr>
          <w:rFonts w:hint="eastAsia" w:cs="仿宋" w:asciiTheme="minorEastAsia" w:hAnsiTheme="minorEastAsia" w:eastAsiaTheme="minorEastAsia"/>
          <w:bCs/>
          <w:sz w:val="24"/>
        </w:rPr>
        <w:t>报价承诺单位：（公章）</w:t>
      </w:r>
    </w:p>
    <w:p>
      <w:pPr>
        <w:spacing w:line="360" w:lineRule="auto"/>
        <w:ind w:right="480" w:firstLine="3960" w:firstLineChars="1650"/>
        <w:rPr>
          <w:rFonts w:cs="仿宋" w:asciiTheme="minorEastAsia" w:hAnsiTheme="minorEastAsia" w:eastAsiaTheme="minorEastAsia"/>
          <w:bCs/>
          <w:sz w:val="24"/>
        </w:rPr>
      </w:pPr>
      <w:r>
        <w:rPr>
          <w:rFonts w:hint="eastAsia" w:cs="仿宋" w:asciiTheme="minorEastAsia" w:hAnsiTheme="minorEastAsia" w:eastAsiaTheme="minorEastAsia"/>
          <w:bCs/>
          <w:sz w:val="24"/>
        </w:rPr>
        <w:t>法 人 代 表：（签名）</w:t>
      </w:r>
    </w:p>
    <w:p>
      <w:pPr>
        <w:spacing w:line="360" w:lineRule="auto"/>
        <w:rPr>
          <w:rFonts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4BFC9"/>
    <w:multiLevelType w:val="singleLevel"/>
    <w:tmpl w:val="55C4BFC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hZjM4N2VlZDVlZWZlNGZlZDAyOGVhMzI5MjVlZWMifQ=="/>
  </w:docVars>
  <w:rsids>
    <w:rsidRoot w:val="009248A1"/>
    <w:rsid w:val="00007EE5"/>
    <w:rsid w:val="00012E34"/>
    <w:rsid w:val="00076425"/>
    <w:rsid w:val="00096DC7"/>
    <w:rsid w:val="000A12C0"/>
    <w:rsid w:val="000B6798"/>
    <w:rsid w:val="000E7D56"/>
    <w:rsid w:val="000F32C9"/>
    <w:rsid w:val="000F7AC7"/>
    <w:rsid w:val="00102A6E"/>
    <w:rsid w:val="00114E54"/>
    <w:rsid w:val="00134734"/>
    <w:rsid w:val="00161F90"/>
    <w:rsid w:val="001C3721"/>
    <w:rsid w:val="001C59E2"/>
    <w:rsid w:val="001F0232"/>
    <w:rsid w:val="001F3D63"/>
    <w:rsid w:val="0024460E"/>
    <w:rsid w:val="00287CAB"/>
    <w:rsid w:val="002C135B"/>
    <w:rsid w:val="002C4017"/>
    <w:rsid w:val="002D344C"/>
    <w:rsid w:val="00316565"/>
    <w:rsid w:val="0032039E"/>
    <w:rsid w:val="00357AE5"/>
    <w:rsid w:val="00357F3D"/>
    <w:rsid w:val="003874DB"/>
    <w:rsid w:val="00387F8B"/>
    <w:rsid w:val="0039795E"/>
    <w:rsid w:val="003D38F5"/>
    <w:rsid w:val="003E2D4D"/>
    <w:rsid w:val="00412453"/>
    <w:rsid w:val="00450BD6"/>
    <w:rsid w:val="004B3FF0"/>
    <w:rsid w:val="005204EA"/>
    <w:rsid w:val="00520DC7"/>
    <w:rsid w:val="00525272"/>
    <w:rsid w:val="00526C59"/>
    <w:rsid w:val="005916D6"/>
    <w:rsid w:val="005C2F16"/>
    <w:rsid w:val="005C761B"/>
    <w:rsid w:val="005D68A2"/>
    <w:rsid w:val="00614D69"/>
    <w:rsid w:val="006532B2"/>
    <w:rsid w:val="00677FB1"/>
    <w:rsid w:val="0068040F"/>
    <w:rsid w:val="006C6C1F"/>
    <w:rsid w:val="006E6BB6"/>
    <w:rsid w:val="006F7AF3"/>
    <w:rsid w:val="00704BB4"/>
    <w:rsid w:val="00730114"/>
    <w:rsid w:val="007378EA"/>
    <w:rsid w:val="00745617"/>
    <w:rsid w:val="0077047D"/>
    <w:rsid w:val="00775B3A"/>
    <w:rsid w:val="007824C5"/>
    <w:rsid w:val="007C242A"/>
    <w:rsid w:val="008158E6"/>
    <w:rsid w:val="00825307"/>
    <w:rsid w:val="00826E67"/>
    <w:rsid w:val="00850478"/>
    <w:rsid w:val="00856AA0"/>
    <w:rsid w:val="0088136F"/>
    <w:rsid w:val="00884AF6"/>
    <w:rsid w:val="00896B07"/>
    <w:rsid w:val="008C1451"/>
    <w:rsid w:val="008F025C"/>
    <w:rsid w:val="008F1C1E"/>
    <w:rsid w:val="009248A1"/>
    <w:rsid w:val="00953F56"/>
    <w:rsid w:val="0097691A"/>
    <w:rsid w:val="009838ED"/>
    <w:rsid w:val="009A25CD"/>
    <w:rsid w:val="009B2732"/>
    <w:rsid w:val="009D4675"/>
    <w:rsid w:val="00A0600D"/>
    <w:rsid w:val="00A22B19"/>
    <w:rsid w:val="00A4426D"/>
    <w:rsid w:val="00A54523"/>
    <w:rsid w:val="00A909C7"/>
    <w:rsid w:val="00AA2CE0"/>
    <w:rsid w:val="00B00D65"/>
    <w:rsid w:val="00B53536"/>
    <w:rsid w:val="00B53557"/>
    <w:rsid w:val="00B57C35"/>
    <w:rsid w:val="00B611BF"/>
    <w:rsid w:val="00B63850"/>
    <w:rsid w:val="00B839E6"/>
    <w:rsid w:val="00B86A06"/>
    <w:rsid w:val="00BA0E3A"/>
    <w:rsid w:val="00BB2888"/>
    <w:rsid w:val="00BC4AAD"/>
    <w:rsid w:val="00C04EF7"/>
    <w:rsid w:val="00C22188"/>
    <w:rsid w:val="00C60F87"/>
    <w:rsid w:val="00C656EF"/>
    <w:rsid w:val="00CA7DAE"/>
    <w:rsid w:val="00CB5C6B"/>
    <w:rsid w:val="00D0155D"/>
    <w:rsid w:val="00D140F8"/>
    <w:rsid w:val="00D378BC"/>
    <w:rsid w:val="00D86D29"/>
    <w:rsid w:val="00DA1F6B"/>
    <w:rsid w:val="00DC2626"/>
    <w:rsid w:val="00DF324A"/>
    <w:rsid w:val="00E0435B"/>
    <w:rsid w:val="00E10454"/>
    <w:rsid w:val="00E46D6B"/>
    <w:rsid w:val="00E60F62"/>
    <w:rsid w:val="00E64EA2"/>
    <w:rsid w:val="00E73D14"/>
    <w:rsid w:val="00E8638F"/>
    <w:rsid w:val="00E97693"/>
    <w:rsid w:val="00EA6C8D"/>
    <w:rsid w:val="00EB252D"/>
    <w:rsid w:val="00EC5555"/>
    <w:rsid w:val="00EE3272"/>
    <w:rsid w:val="00EE66ED"/>
    <w:rsid w:val="00F04F58"/>
    <w:rsid w:val="00F312E9"/>
    <w:rsid w:val="00F40E4B"/>
    <w:rsid w:val="00F44C08"/>
    <w:rsid w:val="00F60CD1"/>
    <w:rsid w:val="00F73D27"/>
    <w:rsid w:val="00F83EE9"/>
    <w:rsid w:val="00FD56AF"/>
    <w:rsid w:val="0383304F"/>
    <w:rsid w:val="06A64AB3"/>
    <w:rsid w:val="0AE61898"/>
    <w:rsid w:val="11750E92"/>
    <w:rsid w:val="13780A59"/>
    <w:rsid w:val="16041350"/>
    <w:rsid w:val="16B014D8"/>
    <w:rsid w:val="19E13FF8"/>
    <w:rsid w:val="1AB02CBA"/>
    <w:rsid w:val="1B267FBB"/>
    <w:rsid w:val="2001608D"/>
    <w:rsid w:val="204B3A8E"/>
    <w:rsid w:val="23026551"/>
    <w:rsid w:val="23342975"/>
    <w:rsid w:val="23407D64"/>
    <w:rsid w:val="28A72075"/>
    <w:rsid w:val="29B30CFC"/>
    <w:rsid w:val="2B77024C"/>
    <w:rsid w:val="2C9B424D"/>
    <w:rsid w:val="2F9F7C9B"/>
    <w:rsid w:val="32F91A58"/>
    <w:rsid w:val="384A3E92"/>
    <w:rsid w:val="3F5A1F1F"/>
    <w:rsid w:val="42A853B4"/>
    <w:rsid w:val="42C6464D"/>
    <w:rsid w:val="4DE45BA7"/>
    <w:rsid w:val="5B3255E5"/>
    <w:rsid w:val="5D273FC2"/>
    <w:rsid w:val="66CA6D2C"/>
    <w:rsid w:val="6A100A1C"/>
    <w:rsid w:val="6CA5610F"/>
    <w:rsid w:val="6DDE7733"/>
    <w:rsid w:val="6F82550F"/>
    <w:rsid w:val="6FCC5329"/>
    <w:rsid w:val="721B52D2"/>
    <w:rsid w:val="74D91C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14"/>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7"/>
    <w:unhideWhenUsed/>
    <w:qFormat/>
    <w:uiPriority w:val="99"/>
    <w:pPr>
      <w:spacing w:after="120"/>
      <w:ind w:left="420" w:leftChars="200"/>
    </w:pPr>
  </w:style>
  <w:style w:type="paragraph" w:styleId="4">
    <w:name w:val="Body Text Indent 2"/>
    <w:basedOn w:val="1"/>
    <w:link w:val="13"/>
    <w:qFormat/>
    <w:uiPriority w:val="0"/>
    <w:pPr>
      <w:spacing w:line="360" w:lineRule="auto"/>
      <w:ind w:firstLine="600"/>
    </w:pPr>
    <w:rPr>
      <w:rFonts w:ascii="宋体" w:cs="宋体"/>
      <w:sz w:val="28"/>
      <w:szCs w:val="28"/>
    </w:rPr>
  </w:style>
  <w:style w:type="paragraph" w:styleId="5">
    <w:name w:val="Balloon Text"/>
    <w:basedOn w:val="1"/>
    <w:link w:val="32"/>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semiHidden/>
    <w:unhideWhenUsed/>
    <w:qFormat/>
    <w:uiPriority w:val="99"/>
    <w:rPr>
      <w:rFonts w:hint="default" w:ascii="Arial" w:hAnsi="Arial" w:eastAsia="Arial" w:cs="Arial"/>
      <w:color w:val="333333"/>
      <w:sz w:val="21"/>
      <w:szCs w:val="21"/>
      <w:u w:val="none"/>
    </w:rPr>
  </w:style>
  <w:style w:type="character" w:styleId="12">
    <w:name w:val="Hyperlink"/>
    <w:basedOn w:val="10"/>
    <w:semiHidden/>
    <w:unhideWhenUsed/>
    <w:qFormat/>
    <w:uiPriority w:val="99"/>
    <w:rPr>
      <w:rFonts w:ascii="Arial" w:hAnsi="Arial" w:eastAsia="Arial" w:cs="Arial"/>
      <w:color w:val="333333"/>
      <w:sz w:val="21"/>
      <w:szCs w:val="21"/>
      <w:u w:val="none"/>
    </w:rPr>
  </w:style>
  <w:style w:type="character" w:customStyle="1" w:styleId="13">
    <w:name w:val="正文文本缩进 2 Char"/>
    <w:basedOn w:val="10"/>
    <w:link w:val="4"/>
    <w:qFormat/>
    <w:uiPriority w:val="0"/>
    <w:rPr>
      <w:rFonts w:ascii="宋体" w:hAnsi="Times New Roman" w:eastAsia="宋体" w:cs="宋体"/>
      <w:sz w:val="28"/>
      <w:szCs w:val="28"/>
    </w:rPr>
  </w:style>
  <w:style w:type="character" w:customStyle="1" w:styleId="14">
    <w:name w:val="标题 4 Char"/>
    <w:basedOn w:val="10"/>
    <w:link w:val="2"/>
    <w:qFormat/>
    <w:uiPriority w:val="0"/>
    <w:rPr>
      <w:rFonts w:ascii="Arial" w:hAnsi="Arial" w:eastAsia="黑体" w:cs="Times New Roman"/>
      <w:b/>
      <w:bCs/>
      <w:sz w:val="28"/>
      <w:szCs w:val="28"/>
    </w:rPr>
  </w:style>
  <w:style w:type="character" w:customStyle="1" w:styleId="15">
    <w:name w:val="页眉 Char"/>
    <w:basedOn w:val="10"/>
    <w:link w:val="7"/>
    <w:semiHidden/>
    <w:qFormat/>
    <w:uiPriority w:val="99"/>
    <w:rPr>
      <w:rFonts w:ascii="Times New Roman" w:hAnsi="Times New Roman" w:eastAsia="宋体" w:cs="Times New Roman"/>
      <w:sz w:val="18"/>
      <w:szCs w:val="18"/>
    </w:rPr>
  </w:style>
  <w:style w:type="character" w:customStyle="1" w:styleId="16">
    <w:name w:val="页脚 Char"/>
    <w:basedOn w:val="10"/>
    <w:link w:val="6"/>
    <w:semiHidden/>
    <w:qFormat/>
    <w:uiPriority w:val="99"/>
    <w:rPr>
      <w:rFonts w:ascii="Times New Roman" w:hAnsi="Times New Roman" w:eastAsia="宋体" w:cs="Times New Roman"/>
      <w:sz w:val="18"/>
      <w:szCs w:val="18"/>
    </w:rPr>
  </w:style>
  <w:style w:type="character" w:customStyle="1" w:styleId="17">
    <w:name w:val="正文文本缩进 Char"/>
    <w:basedOn w:val="10"/>
    <w:link w:val="3"/>
    <w:semiHidden/>
    <w:qFormat/>
    <w:uiPriority w:val="99"/>
    <w:rPr>
      <w:rFonts w:ascii="Times New Roman" w:hAnsi="Times New Roman" w:eastAsia="宋体" w:cs="Times New Roman"/>
      <w:szCs w:val="24"/>
    </w:rPr>
  </w:style>
  <w:style w:type="paragraph" w:styleId="1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9">
    <w:name w:val="fontstyle01"/>
    <w:basedOn w:val="10"/>
    <w:qFormat/>
    <w:uiPriority w:val="0"/>
    <w:rPr>
      <w:rFonts w:ascii="TimesNewRomanPSMT" w:hAnsi="TimesNewRomanPSMT" w:eastAsia="TimesNewRomanPSMT" w:cs="TimesNewRomanPSMT"/>
      <w:color w:val="000000"/>
      <w:sz w:val="24"/>
      <w:szCs w:val="24"/>
    </w:rPr>
  </w:style>
  <w:style w:type="character" w:customStyle="1" w:styleId="20">
    <w:name w:val="after"/>
    <w:basedOn w:val="10"/>
    <w:qFormat/>
    <w:uiPriority w:val="0"/>
    <w:rPr>
      <w:bdr w:val="dashed" w:color="auto" w:sz="48" w:space="0"/>
    </w:rPr>
  </w:style>
  <w:style w:type="character" w:customStyle="1" w:styleId="21">
    <w:name w:val="before"/>
    <w:basedOn w:val="10"/>
    <w:qFormat/>
    <w:uiPriority w:val="0"/>
    <w:rPr>
      <w:bdr w:val="single" w:color="auto" w:sz="48" w:space="0"/>
    </w:rPr>
  </w:style>
  <w:style w:type="character" w:customStyle="1" w:styleId="22">
    <w:name w:val="credit"/>
    <w:basedOn w:val="10"/>
    <w:qFormat/>
    <w:uiPriority w:val="0"/>
    <w:rPr>
      <w:sz w:val="18"/>
      <w:szCs w:val="18"/>
    </w:rPr>
  </w:style>
  <w:style w:type="character" w:customStyle="1" w:styleId="23">
    <w:name w:val="hover"/>
    <w:basedOn w:val="10"/>
    <w:qFormat/>
    <w:uiPriority w:val="0"/>
    <w:rPr>
      <w:shd w:val="clear" w:color="auto" w:fill="346AC3"/>
    </w:rPr>
  </w:style>
  <w:style w:type="character" w:customStyle="1" w:styleId="24">
    <w:name w:val="hover1"/>
    <w:basedOn w:val="10"/>
    <w:qFormat/>
    <w:uiPriority w:val="0"/>
    <w:rPr>
      <w:color w:val="1A85D7"/>
    </w:rPr>
  </w:style>
  <w:style w:type="character" w:customStyle="1" w:styleId="25">
    <w:name w:val="hover2"/>
    <w:basedOn w:val="10"/>
    <w:qFormat/>
    <w:uiPriority w:val="0"/>
    <w:rPr>
      <w:color w:val="4285F4"/>
    </w:rPr>
  </w:style>
  <w:style w:type="character" w:customStyle="1" w:styleId="26">
    <w:name w:val="hover3"/>
    <w:basedOn w:val="10"/>
    <w:qFormat/>
    <w:uiPriority w:val="0"/>
    <w:rPr>
      <w:color w:val="4285F4"/>
      <w:u w:val="none"/>
    </w:rPr>
  </w:style>
  <w:style w:type="character" w:customStyle="1" w:styleId="27">
    <w:name w:val="hover4"/>
    <w:basedOn w:val="10"/>
    <w:uiPriority w:val="0"/>
    <w:rPr>
      <w:color w:val="4285F4"/>
    </w:rPr>
  </w:style>
  <w:style w:type="character" w:customStyle="1" w:styleId="28">
    <w:name w:val="hover5"/>
    <w:basedOn w:val="10"/>
    <w:qFormat/>
    <w:uiPriority w:val="0"/>
  </w:style>
  <w:style w:type="character" w:customStyle="1" w:styleId="29">
    <w:name w:val="last-child1"/>
    <w:basedOn w:val="10"/>
    <w:qFormat/>
    <w:uiPriority w:val="0"/>
  </w:style>
  <w:style w:type="character" w:customStyle="1" w:styleId="30">
    <w:name w:val="active"/>
    <w:basedOn w:val="10"/>
    <w:qFormat/>
    <w:uiPriority w:val="0"/>
    <w:rPr>
      <w:color w:val="4285F4"/>
      <w:bdr w:val="single" w:color="4285F4" w:sz="6" w:space="0"/>
    </w:rPr>
  </w:style>
  <w:style w:type="character" w:customStyle="1" w:styleId="31">
    <w:name w:val="first-child"/>
    <w:basedOn w:val="10"/>
    <w:qFormat/>
    <w:uiPriority w:val="0"/>
  </w:style>
  <w:style w:type="character" w:customStyle="1" w:styleId="32">
    <w:name w:val="批注框文本 Char"/>
    <w:basedOn w:val="10"/>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16BF9C-58D7-46DD-B9FE-926E46EA0694}">
  <ds:schemaRefs/>
</ds:datastoreItem>
</file>

<file path=docProps/app.xml><?xml version="1.0" encoding="utf-8"?>
<Properties xmlns="http://schemas.openxmlformats.org/officeDocument/2006/extended-properties" xmlns:vt="http://schemas.openxmlformats.org/officeDocument/2006/docPropsVTypes">
  <Template>Normal</Template>
  <Pages>4</Pages>
  <Words>1315</Words>
  <Characters>1420</Characters>
  <Lines>10</Lines>
  <Paragraphs>3</Paragraphs>
  <TotalTime>70</TotalTime>
  <ScaleCrop>false</ScaleCrop>
  <LinksUpToDate>false</LinksUpToDate>
  <CharactersWithSpaces>1471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2018-01-08T02:20:00Z</dcterms:created>
  <dc:creator>SYZ</dc:creator>
  <cp:lastModifiedBy>张璟</cp:lastModifiedBy>
  <cp:lastPrinted>2017-07-03T08:19:00Z</cp:lastPrinted>
  <dcterms:modified xsi:type="dcterms:W3CDTF">2022-06-30T10:07:43Z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795F868F4B544F0C90AE8F9B1AFED6E6</vt:lpwstr>
  </property>
</Properties>
</file>