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rPr>
      </w:pPr>
      <w:r>
        <w:rPr>
          <w:rFonts w:hint="eastAsia" w:ascii="宋体" w:hAnsi="宋体"/>
          <w:b/>
          <w:color w:val="auto"/>
          <w:sz w:val="32"/>
          <w:szCs w:val="32"/>
        </w:rPr>
        <w:t>福州市滨海水务发展有限公司</w:t>
      </w:r>
    </w:p>
    <w:p>
      <w:pPr>
        <w:spacing w:line="360" w:lineRule="auto"/>
        <w:jc w:val="center"/>
        <w:rPr>
          <w:rFonts w:ascii="宋体" w:hAnsi="宋体"/>
          <w:b/>
          <w:color w:val="auto"/>
          <w:sz w:val="32"/>
          <w:szCs w:val="32"/>
        </w:rPr>
      </w:pPr>
      <w:bookmarkStart w:id="0" w:name="OLE_LINK1"/>
      <w:r>
        <w:rPr>
          <w:rFonts w:hint="eastAsia" w:ascii="宋体" w:hAnsi="宋体"/>
          <w:b/>
          <w:color w:val="auto"/>
          <w:sz w:val="32"/>
          <w:szCs w:val="32"/>
        </w:rPr>
        <w:t>关于网络安全及电脑设备维护服务项目采购的询价函</w:t>
      </w:r>
    </w:p>
    <w:p>
      <w:pPr>
        <w:pStyle w:val="12"/>
        <w:spacing w:line="360" w:lineRule="auto"/>
        <w:rPr>
          <w:color w:val="auto"/>
        </w:rPr>
      </w:pPr>
    </w:p>
    <w:bookmarkEnd w:id="0"/>
    <w:p>
      <w:pPr>
        <w:widowControl/>
        <w:snapToGrid w:val="0"/>
        <w:spacing w:line="360" w:lineRule="auto"/>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福州市滨海水务发展有限公司采用公开挂网询价的采购方式组织实施本次服务采购，现邀请有合作意向的网络安全及电脑设备维护服务公司参与报价。</w:t>
      </w:r>
    </w:p>
    <w:p>
      <w:pPr>
        <w:widowControl/>
        <w:snapToGrid w:val="0"/>
        <w:spacing w:line="360" w:lineRule="auto"/>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一、询价邀请</w:t>
      </w:r>
    </w:p>
    <w:p>
      <w:pPr>
        <w:widowControl/>
        <w:snapToGrid w:val="0"/>
        <w:spacing w:line="360" w:lineRule="auto"/>
        <w:ind w:firstLine="480" w:firstLineChars="200"/>
        <w:jc w:val="left"/>
        <w:rPr>
          <w:rFonts w:ascii="宋体" w:hAnsi="宋体"/>
          <w:color w:val="auto"/>
          <w:sz w:val="24"/>
        </w:rPr>
      </w:pPr>
      <w:r>
        <w:rPr>
          <w:rFonts w:hint="eastAsia" w:ascii="宋体" w:hAnsi="宋体" w:cs="Arial Unicode MS"/>
          <w:color w:val="auto"/>
          <w:kern w:val="0"/>
          <w:sz w:val="24"/>
        </w:rPr>
        <w:t>1、项目编号：</w:t>
      </w:r>
      <w:r>
        <w:rPr>
          <w:rFonts w:hint="eastAsia" w:ascii="宋体" w:hAnsi="宋体"/>
          <w:color w:val="auto"/>
          <w:sz w:val="24"/>
        </w:rPr>
        <w:t>BHSW2022CG-012</w:t>
      </w:r>
    </w:p>
    <w:p>
      <w:pPr>
        <w:widowControl/>
        <w:snapToGrid w:val="0"/>
        <w:spacing w:line="360" w:lineRule="auto"/>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2、询价采购服务及相关要求等详见“询价一览表”。</w:t>
      </w:r>
    </w:p>
    <w:p>
      <w:pPr>
        <w:widowControl/>
        <w:snapToGrid w:val="0"/>
        <w:spacing w:line="360" w:lineRule="auto"/>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3、报价文件应</w:t>
      </w:r>
      <w:r>
        <w:rPr>
          <w:rFonts w:hint="eastAsia" w:ascii="宋体" w:hAnsi="宋体" w:cs="Arial Unicode MS"/>
          <w:b/>
          <w:color w:val="auto"/>
          <w:kern w:val="0"/>
          <w:sz w:val="24"/>
        </w:rPr>
        <w:t>一式两份</w:t>
      </w:r>
      <w:r>
        <w:rPr>
          <w:rFonts w:hint="eastAsia" w:ascii="宋体" w:hAnsi="宋体" w:cs="Arial Unicode MS"/>
          <w:color w:val="auto"/>
          <w:kern w:val="0"/>
          <w:sz w:val="24"/>
        </w:rPr>
        <w:t>用密封的形式,</w:t>
      </w:r>
      <w:r>
        <w:rPr>
          <w:rFonts w:hint="eastAsia" w:ascii="宋体" w:hAnsi="宋体" w:cs="宋体"/>
          <w:color w:val="auto"/>
          <w:kern w:val="0"/>
          <w:sz w:val="24"/>
        </w:rPr>
        <w:t>并在密封面注明询价项目名称、编号、供应商名称、联系人、联系电话等，同时在各密封处加盖公章</w:t>
      </w:r>
      <w:r>
        <w:rPr>
          <w:rFonts w:hint="eastAsia" w:ascii="宋体" w:hAnsi="宋体" w:cs="Arial Unicode MS"/>
          <w:color w:val="auto"/>
          <w:kern w:val="0"/>
          <w:sz w:val="24"/>
        </w:rPr>
        <w:t>寄送至我司。</w:t>
      </w:r>
    </w:p>
    <w:p>
      <w:pPr>
        <w:widowControl/>
        <w:snapToGrid w:val="0"/>
        <w:spacing w:line="360" w:lineRule="auto"/>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报价文件送达时间:自询价函送达之日起第五个工作日</w:t>
      </w:r>
      <w:r>
        <w:rPr>
          <w:rFonts w:hint="eastAsia" w:ascii="宋体" w:hAnsi="宋体"/>
          <w:color w:val="auto"/>
          <w:kern w:val="0"/>
          <w:sz w:val="24"/>
        </w:rPr>
        <w:t>之内</w:t>
      </w:r>
      <w:r>
        <w:rPr>
          <w:rFonts w:hint="eastAsia" w:ascii="宋体" w:hAnsi="宋体"/>
          <w:color w:val="auto"/>
          <w:sz w:val="24"/>
        </w:rPr>
        <w:t>，</w:t>
      </w:r>
      <w:r>
        <w:rPr>
          <w:rFonts w:hint="eastAsia" w:ascii="宋体" w:hAnsi="宋体" w:cs="Arial Unicode MS"/>
          <w:color w:val="auto"/>
          <w:kern w:val="0"/>
          <w:sz w:val="24"/>
        </w:rPr>
        <w:t>未按此要求的，将被视为无效报价文件。</w:t>
      </w:r>
    </w:p>
    <w:p>
      <w:pPr>
        <w:widowControl/>
        <w:snapToGrid w:val="0"/>
        <w:spacing w:line="360" w:lineRule="auto"/>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4、收件人：林女士</w:t>
      </w:r>
    </w:p>
    <w:p>
      <w:pPr>
        <w:widowControl/>
        <w:snapToGrid w:val="0"/>
        <w:spacing w:line="360" w:lineRule="auto"/>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地址：福州市长乐区文武砂镇漳江路公交首末站4楼</w:t>
      </w:r>
      <w:r>
        <w:rPr>
          <w:rFonts w:hint="eastAsia" w:ascii="仿宋_GB2312" w:hAnsi="黑体" w:eastAsia="仿宋_GB2312"/>
          <w:color w:val="auto"/>
          <w:sz w:val="28"/>
          <w:szCs w:val="28"/>
        </w:rPr>
        <w:t>，</w:t>
      </w:r>
      <w:r>
        <w:rPr>
          <w:rFonts w:hint="eastAsia" w:ascii="宋体" w:hAnsi="宋体" w:cs="Arial Unicode MS"/>
          <w:color w:val="auto"/>
          <w:kern w:val="0"/>
          <w:sz w:val="24"/>
        </w:rPr>
        <w:t>联系电话：0591-87529791，13067277372。</w:t>
      </w:r>
    </w:p>
    <w:p>
      <w:pPr>
        <w:spacing w:before="54" w:line="360" w:lineRule="auto"/>
        <w:ind w:left="161" w:right="173"/>
        <w:jc w:val="center"/>
        <w:rPr>
          <w:b/>
          <w:color w:val="auto"/>
          <w:sz w:val="28"/>
          <w:szCs w:val="28"/>
        </w:rPr>
      </w:pPr>
      <w:r>
        <w:rPr>
          <w:rFonts w:hint="eastAsia"/>
          <w:b/>
          <w:color w:val="auto"/>
          <w:sz w:val="28"/>
          <w:szCs w:val="28"/>
        </w:rPr>
        <w:t>询</w:t>
      </w:r>
      <w:r>
        <w:rPr>
          <w:b/>
          <w:color w:val="auto"/>
          <w:sz w:val="28"/>
          <w:szCs w:val="28"/>
        </w:rPr>
        <w:t>价一览表</w:t>
      </w:r>
    </w:p>
    <w:tbl>
      <w:tblPr>
        <w:tblStyle w:val="14"/>
        <w:tblW w:w="943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3896"/>
        <w:gridCol w:w="355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6" w:type="dxa"/>
            <w:vAlign w:val="center"/>
          </w:tcPr>
          <w:p>
            <w:pPr>
              <w:widowControl/>
              <w:numPr>
                <w:ilvl w:val="-1"/>
                <w:numId w:val="0"/>
              </w:numPr>
              <w:adjustRightInd w:val="0"/>
              <w:snapToGrid w:val="0"/>
              <w:spacing w:line="360" w:lineRule="auto"/>
              <w:ind w:left="0" w:firstLine="0" w:firstLineChars="0"/>
              <w:jc w:val="center"/>
              <w:rPr>
                <w:rFonts w:hint="eastAsia" w:ascii="宋体" w:hAnsi="宋体" w:eastAsia="宋体" w:cs="Arial"/>
                <w:color w:val="auto"/>
                <w:kern w:val="0"/>
                <w:sz w:val="24"/>
                <w:szCs w:val="24"/>
                <w:vertAlign w:val="baseline"/>
                <w:lang w:val="en-US" w:eastAsia="zh-CN"/>
              </w:rPr>
            </w:pPr>
            <w:r>
              <w:rPr>
                <w:rFonts w:hint="eastAsia" w:ascii="宋体" w:hAnsi="宋体" w:cs="Arial"/>
                <w:color w:val="auto"/>
                <w:kern w:val="0"/>
                <w:sz w:val="24"/>
                <w:szCs w:val="24"/>
                <w:vertAlign w:val="baseline"/>
                <w:lang w:val="en-US" w:eastAsia="zh-CN"/>
              </w:rPr>
              <w:t>序号</w:t>
            </w:r>
          </w:p>
        </w:tc>
        <w:tc>
          <w:tcPr>
            <w:tcW w:w="3465" w:type="dxa"/>
            <w:vAlign w:val="center"/>
          </w:tcPr>
          <w:p>
            <w:pPr>
              <w:widowControl/>
              <w:numPr>
                <w:ilvl w:val="-1"/>
                <w:numId w:val="0"/>
              </w:numPr>
              <w:adjustRightInd w:val="0"/>
              <w:snapToGrid w:val="0"/>
              <w:spacing w:line="360" w:lineRule="auto"/>
              <w:ind w:left="0" w:firstLine="0" w:firstLineChars="0"/>
              <w:jc w:val="center"/>
              <w:rPr>
                <w:rFonts w:hint="eastAsia" w:ascii="宋体" w:hAnsi="宋体" w:eastAsia="宋体" w:cs="Arial"/>
                <w:color w:val="auto"/>
                <w:kern w:val="0"/>
                <w:sz w:val="24"/>
                <w:szCs w:val="24"/>
                <w:vertAlign w:val="baseline"/>
                <w:lang w:val="en-US" w:eastAsia="zh-CN"/>
              </w:rPr>
            </w:pPr>
            <w:r>
              <w:rPr>
                <w:rFonts w:hint="eastAsia" w:ascii="宋体" w:hAnsi="宋体" w:cs="Arial"/>
                <w:color w:val="auto"/>
                <w:kern w:val="0"/>
                <w:sz w:val="24"/>
                <w:szCs w:val="24"/>
                <w:vertAlign w:val="baseline"/>
                <w:lang w:val="en-US" w:eastAsia="zh-CN"/>
              </w:rPr>
              <w:t>维护内容</w:t>
            </w:r>
          </w:p>
        </w:tc>
        <w:tc>
          <w:tcPr>
            <w:tcW w:w="3158" w:type="dxa"/>
            <w:vAlign w:val="center"/>
          </w:tcPr>
          <w:p>
            <w:pPr>
              <w:widowControl/>
              <w:numPr>
                <w:ilvl w:val="-1"/>
                <w:numId w:val="0"/>
              </w:numPr>
              <w:adjustRightInd w:val="0"/>
              <w:snapToGrid w:val="0"/>
              <w:spacing w:line="360" w:lineRule="auto"/>
              <w:ind w:left="0" w:firstLine="0" w:firstLineChars="0"/>
              <w:jc w:val="center"/>
              <w:rPr>
                <w:rFonts w:hint="eastAsia" w:ascii="宋体" w:hAnsi="宋体" w:eastAsia="宋体" w:cs="Arial"/>
                <w:color w:val="auto"/>
                <w:kern w:val="0"/>
                <w:sz w:val="24"/>
                <w:szCs w:val="24"/>
                <w:vertAlign w:val="baseline"/>
                <w:lang w:val="en-US" w:eastAsia="zh-CN"/>
              </w:rPr>
            </w:pPr>
            <w:r>
              <w:rPr>
                <w:rFonts w:hint="eastAsia" w:ascii="宋体" w:hAnsi="宋体" w:cs="Arial"/>
                <w:color w:val="auto"/>
                <w:kern w:val="0"/>
                <w:sz w:val="24"/>
                <w:szCs w:val="24"/>
                <w:vertAlign w:val="baseline"/>
                <w:lang w:val="en-US" w:eastAsia="zh-CN"/>
              </w:rPr>
              <w:t>服务标准</w:t>
            </w:r>
          </w:p>
        </w:tc>
        <w:tc>
          <w:tcPr>
            <w:tcW w:w="945" w:type="dxa"/>
            <w:vAlign w:val="center"/>
          </w:tcPr>
          <w:p>
            <w:pPr>
              <w:widowControl/>
              <w:numPr>
                <w:ilvl w:val="-1"/>
                <w:numId w:val="0"/>
              </w:numPr>
              <w:adjustRightInd w:val="0"/>
              <w:snapToGrid w:val="0"/>
              <w:spacing w:line="360" w:lineRule="auto"/>
              <w:ind w:left="0" w:firstLine="0" w:firstLineChars="0"/>
              <w:jc w:val="center"/>
              <w:rPr>
                <w:rFonts w:hint="eastAsia" w:ascii="宋体" w:hAnsi="宋体" w:eastAsia="宋体" w:cs="Arial"/>
                <w:color w:val="auto"/>
                <w:kern w:val="0"/>
                <w:sz w:val="24"/>
                <w:szCs w:val="24"/>
                <w:vertAlign w:val="baseline"/>
                <w:lang w:val="en-US" w:eastAsia="zh-CN"/>
              </w:rPr>
            </w:pPr>
            <w:r>
              <w:rPr>
                <w:rFonts w:hint="eastAsia" w:ascii="宋体" w:hAnsi="宋体" w:cs="Arial"/>
                <w:color w:val="auto"/>
                <w:kern w:val="0"/>
                <w:sz w:val="24"/>
                <w:szCs w:val="24"/>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6" w:type="dxa"/>
            <w:vAlign w:val="center"/>
          </w:tcPr>
          <w:p>
            <w:pPr>
              <w:spacing w:line="500" w:lineRule="exact"/>
              <w:ind w:firstLine="180" w:firstLineChars="100"/>
              <w:jc w:val="center"/>
              <w:rPr>
                <w:rFonts w:hint="eastAsia"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w:t>
            </w:r>
          </w:p>
        </w:tc>
        <w:tc>
          <w:tcPr>
            <w:tcW w:w="3465" w:type="dxa"/>
            <w:vAlign w:val="center"/>
          </w:tcPr>
          <w:p>
            <w:pPr>
              <w:widowControl/>
              <w:numPr>
                <w:ilvl w:val="0"/>
                <w:numId w:val="1"/>
              </w:numPr>
              <w:adjustRightInd w:val="0"/>
              <w:snapToGrid w:val="0"/>
              <w:spacing w:line="360" w:lineRule="auto"/>
              <w:ind w:left="425" w:hanging="425" w:firstLineChars="0"/>
              <w:jc w:val="left"/>
              <w:rPr>
                <w:rFonts w:hint="eastAsia" w:ascii="宋体" w:hAnsi="宋体" w:cs="Arial"/>
                <w:b w:val="0"/>
                <w:color w:val="auto"/>
                <w:kern w:val="0"/>
                <w:sz w:val="24"/>
                <w:szCs w:val="24"/>
                <w:lang w:val="en-US" w:eastAsia="zh-CN"/>
              </w:rPr>
            </w:pPr>
            <w:r>
              <w:rPr>
                <w:rFonts w:hint="eastAsia" w:ascii="宋体" w:hAnsi="宋体" w:cs="Arial"/>
                <w:b w:val="0"/>
                <w:color w:val="auto"/>
                <w:kern w:val="0"/>
                <w:sz w:val="24"/>
                <w:szCs w:val="24"/>
                <w:lang w:val="en-US" w:eastAsia="zh-CN"/>
              </w:rPr>
              <w:t>硬件设备故障排除；软件故障排除；电脑外设联接及故障排除。</w:t>
            </w:r>
          </w:p>
          <w:p>
            <w:pPr>
              <w:widowControl/>
              <w:numPr>
                <w:ilvl w:val="0"/>
                <w:numId w:val="1"/>
              </w:numPr>
              <w:adjustRightInd w:val="0"/>
              <w:snapToGrid w:val="0"/>
              <w:spacing w:line="360" w:lineRule="auto"/>
              <w:ind w:left="425" w:leftChars="0" w:hanging="425" w:firstLineChars="0"/>
              <w:jc w:val="left"/>
              <w:rPr>
                <w:rFonts w:hint="eastAsia" w:ascii="宋体" w:hAnsi="宋体" w:cs="Arial"/>
                <w:b w:val="0"/>
                <w:color w:val="auto"/>
                <w:kern w:val="0"/>
                <w:sz w:val="24"/>
                <w:szCs w:val="24"/>
                <w:lang w:val="en-US" w:eastAsia="zh-CN"/>
              </w:rPr>
            </w:pPr>
            <w:r>
              <w:rPr>
                <w:rFonts w:hint="eastAsia" w:ascii="宋体" w:hAnsi="宋体" w:cs="Arial"/>
                <w:b w:val="0"/>
                <w:color w:val="auto"/>
                <w:kern w:val="0"/>
                <w:sz w:val="24"/>
                <w:szCs w:val="24"/>
                <w:lang w:val="en-US" w:eastAsia="zh-CN"/>
              </w:rPr>
              <w:t>系统软件的安装、恢复、优化；病毒清除及防范。</w:t>
            </w:r>
          </w:p>
          <w:p>
            <w:pPr>
              <w:widowControl/>
              <w:numPr>
                <w:ilvl w:val="0"/>
                <w:numId w:val="1"/>
              </w:numPr>
              <w:adjustRightInd w:val="0"/>
              <w:snapToGrid w:val="0"/>
              <w:spacing w:line="360" w:lineRule="auto"/>
              <w:ind w:left="425" w:hanging="425" w:firstLineChars="0"/>
              <w:jc w:val="left"/>
              <w:rPr>
                <w:rFonts w:hint="eastAsia" w:ascii="宋体" w:hAnsi="宋体" w:cs="Arial"/>
                <w:b w:val="0"/>
                <w:color w:val="auto"/>
                <w:kern w:val="0"/>
                <w:sz w:val="24"/>
                <w:szCs w:val="24"/>
                <w:lang w:val="en-US" w:eastAsia="zh-CN"/>
              </w:rPr>
            </w:pPr>
            <w:r>
              <w:rPr>
                <w:rFonts w:hint="eastAsia" w:ascii="宋体" w:hAnsi="宋体" w:cs="Arial"/>
                <w:b w:val="0"/>
                <w:color w:val="auto"/>
                <w:kern w:val="0"/>
                <w:sz w:val="24"/>
                <w:szCs w:val="24"/>
                <w:lang w:val="en-US" w:eastAsia="zh-CN"/>
              </w:rPr>
              <w:t>网络设备维护；设备上网设置及维护；互联网设置及维护；打印设备共享及维护；</w:t>
            </w:r>
          </w:p>
          <w:p>
            <w:pPr>
              <w:widowControl/>
              <w:numPr>
                <w:ilvl w:val="0"/>
                <w:numId w:val="1"/>
              </w:numPr>
              <w:adjustRightInd w:val="0"/>
              <w:snapToGrid w:val="0"/>
              <w:spacing w:line="360" w:lineRule="auto"/>
              <w:ind w:left="425" w:hanging="425" w:firstLineChars="0"/>
              <w:jc w:val="left"/>
              <w:rPr>
                <w:rFonts w:hint="eastAsia" w:ascii="宋体" w:hAnsi="宋体" w:cs="Arial"/>
                <w:b w:val="0"/>
                <w:color w:val="auto"/>
                <w:kern w:val="0"/>
                <w:sz w:val="24"/>
                <w:szCs w:val="24"/>
                <w:lang w:val="en-US" w:eastAsia="zh-CN"/>
              </w:rPr>
            </w:pPr>
            <w:r>
              <w:rPr>
                <w:rFonts w:hint="eastAsia" w:ascii="宋体" w:hAnsi="宋体" w:cs="Arial"/>
                <w:b w:val="0"/>
                <w:color w:val="auto"/>
                <w:kern w:val="0"/>
                <w:sz w:val="24"/>
                <w:szCs w:val="24"/>
                <w:lang w:val="en-US" w:eastAsia="zh-CN"/>
              </w:rPr>
              <w:t>电脑资料备份及最大限度修复。</w:t>
            </w:r>
          </w:p>
          <w:p>
            <w:pPr>
              <w:widowControl/>
              <w:numPr>
                <w:ilvl w:val="0"/>
                <w:numId w:val="1"/>
              </w:numPr>
              <w:adjustRightInd w:val="0"/>
              <w:snapToGrid w:val="0"/>
              <w:spacing w:line="360" w:lineRule="auto"/>
              <w:ind w:left="425" w:hanging="425" w:firstLineChars="0"/>
              <w:jc w:val="left"/>
              <w:rPr>
                <w:rFonts w:hint="eastAsia" w:ascii="宋体" w:hAnsi="宋体" w:cs="Arial"/>
                <w:b w:val="0"/>
                <w:color w:val="auto"/>
                <w:kern w:val="0"/>
                <w:sz w:val="24"/>
                <w:szCs w:val="24"/>
                <w:lang w:val="en-US" w:eastAsia="zh-CN"/>
              </w:rPr>
            </w:pPr>
            <w:r>
              <w:rPr>
                <w:rFonts w:hint="eastAsia" w:ascii="宋体" w:hAnsi="宋体" w:cs="Arial"/>
                <w:b w:val="0"/>
                <w:color w:val="auto"/>
                <w:kern w:val="0"/>
                <w:sz w:val="24"/>
                <w:szCs w:val="24"/>
                <w:lang w:val="en-US" w:eastAsia="zh-CN"/>
              </w:rPr>
              <w:t>常用系统软件及应用软件的安装、升级、操作使用指导。</w:t>
            </w:r>
          </w:p>
          <w:p>
            <w:pPr>
              <w:widowControl/>
              <w:numPr>
                <w:ilvl w:val="0"/>
                <w:numId w:val="1"/>
              </w:numPr>
              <w:adjustRightInd w:val="0"/>
              <w:snapToGrid w:val="0"/>
              <w:spacing w:line="360" w:lineRule="auto"/>
              <w:ind w:left="425" w:hanging="425" w:firstLineChars="0"/>
              <w:jc w:val="left"/>
              <w:rPr>
                <w:rFonts w:hint="eastAsia" w:ascii="宋体" w:hAnsi="宋体" w:cs="Arial"/>
                <w:b w:val="0"/>
                <w:color w:val="auto"/>
                <w:kern w:val="0"/>
                <w:sz w:val="24"/>
                <w:szCs w:val="24"/>
                <w:lang w:val="en-US" w:eastAsia="zh-CN"/>
              </w:rPr>
            </w:pPr>
            <w:r>
              <w:rPr>
                <w:rFonts w:hint="eastAsia" w:ascii="宋体" w:hAnsi="宋体" w:cs="Arial"/>
                <w:b w:val="0"/>
                <w:color w:val="auto"/>
                <w:kern w:val="0"/>
                <w:sz w:val="24"/>
                <w:szCs w:val="24"/>
                <w:lang w:val="en-US" w:eastAsia="zh-CN"/>
              </w:rPr>
              <w:t>自有软件的安装调试及操作使用指导。</w:t>
            </w:r>
          </w:p>
          <w:p>
            <w:pPr>
              <w:widowControl/>
              <w:adjustRightInd w:val="0"/>
              <w:snapToGrid w:val="0"/>
              <w:spacing w:line="360" w:lineRule="auto"/>
              <w:ind w:firstLine="470" w:firstLineChars="196"/>
              <w:jc w:val="left"/>
              <w:rPr>
                <w:rFonts w:hint="eastAsia" w:ascii="宋体" w:hAnsi="宋体" w:cs="Arial"/>
                <w:color w:val="auto"/>
                <w:kern w:val="0"/>
                <w:sz w:val="24"/>
                <w:szCs w:val="24"/>
                <w:vertAlign w:val="baseline"/>
              </w:rPr>
            </w:pPr>
          </w:p>
        </w:tc>
        <w:tc>
          <w:tcPr>
            <w:tcW w:w="3158" w:type="dxa"/>
            <w:vAlign w:val="center"/>
          </w:tcPr>
          <w:p>
            <w:pPr>
              <w:widowControl/>
              <w:numPr>
                <w:ilvl w:val="0"/>
                <w:numId w:val="2"/>
              </w:numPr>
              <w:adjustRightInd w:val="0"/>
              <w:snapToGrid w:val="0"/>
              <w:spacing w:line="360" w:lineRule="auto"/>
              <w:ind w:left="425" w:hanging="425" w:firstLineChars="0"/>
              <w:jc w:val="left"/>
              <w:rPr>
                <w:rFonts w:hint="eastAsia" w:ascii="宋体" w:hAnsi="宋体" w:cs="Arial"/>
                <w:b w:val="0"/>
                <w:color w:val="auto"/>
                <w:kern w:val="0"/>
                <w:sz w:val="24"/>
                <w:szCs w:val="24"/>
              </w:rPr>
            </w:pPr>
            <w:r>
              <w:rPr>
                <w:rFonts w:hint="eastAsia" w:ascii="宋体" w:hAnsi="宋体" w:cs="Arial"/>
                <w:b w:val="0"/>
                <w:color w:val="auto"/>
                <w:kern w:val="0"/>
                <w:sz w:val="24"/>
                <w:szCs w:val="24"/>
              </w:rPr>
              <w:t>保证甲方电脑及网络设备运行正常。</w:t>
            </w:r>
          </w:p>
          <w:p>
            <w:pPr>
              <w:widowControl/>
              <w:numPr>
                <w:ilvl w:val="0"/>
                <w:numId w:val="2"/>
              </w:numPr>
              <w:adjustRightInd w:val="0"/>
              <w:snapToGrid w:val="0"/>
              <w:spacing w:line="360" w:lineRule="auto"/>
              <w:ind w:left="425" w:leftChars="0" w:hanging="425" w:firstLineChars="0"/>
              <w:jc w:val="left"/>
              <w:rPr>
                <w:rFonts w:hint="eastAsia" w:ascii="宋体" w:hAnsi="宋体" w:cs="Arial"/>
                <w:b w:val="0"/>
                <w:color w:val="auto"/>
                <w:kern w:val="0"/>
                <w:sz w:val="24"/>
                <w:szCs w:val="24"/>
              </w:rPr>
            </w:pPr>
            <w:r>
              <w:rPr>
                <w:rFonts w:hint="eastAsia" w:ascii="宋体" w:hAnsi="宋体" w:cs="Arial"/>
                <w:b w:val="0"/>
                <w:color w:val="auto"/>
                <w:kern w:val="0"/>
                <w:sz w:val="24"/>
                <w:szCs w:val="24"/>
              </w:rPr>
              <w:t>建立设备维护档案，并严格保守一切商业机密，配合数据信息的安全使用。</w:t>
            </w:r>
          </w:p>
          <w:p>
            <w:pPr>
              <w:widowControl/>
              <w:numPr>
                <w:ilvl w:val="0"/>
                <w:numId w:val="2"/>
              </w:numPr>
              <w:adjustRightInd w:val="0"/>
              <w:snapToGrid w:val="0"/>
              <w:spacing w:line="360" w:lineRule="auto"/>
              <w:ind w:left="425" w:leftChars="0" w:hanging="425" w:firstLineChars="0"/>
              <w:jc w:val="left"/>
              <w:rPr>
                <w:rFonts w:hint="eastAsia" w:ascii="宋体" w:hAnsi="宋体" w:cs="Arial"/>
                <w:b w:val="0"/>
                <w:color w:val="auto"/>
                <w:kern w:val="0"/>
                <w:sz w:val="24"/>
                <w:szCs w:val="24"/>
                <w:lang w:eastAsia="zh-CN"/>
              </w:rPr>
            </w:pPr>
            <w:r>
              <w:rPr>
                <w:rFonts w:hint="eastAsia" w:ascii="宋体" w:hAnsi="宋体" w:cs="Arial"/>
                <w:b w:val="0"/>
                <w:color w:val="auto"/>
                <w:kern w:val="0"/>
                <w:sz w:val="24"/>
                <w:szCs w:val="24"/>
              </w:rPr>
              <w:t>由专业维护人员负责提供不限时电话网络咨询、远程服务</w:t>
            </w:r>
            <w:r>
              <w:rPr>
                <w:rFonts w:hint="eastAsia" w:ascii="宋体" w:hAnsi="宋体" w:cs="Arial"/>
                <w:b w:val="0"/>
                <w:color w:val="auto"/>
                <w:kern w:val="0"/>
                <w:sz w:val="24"/>
                <w:szCs w:val="24"/>
                <w:lang w:eastAsia="zh-CN"/>
              </w:rPr>
              <w:t>；</w:t>
            </w:r>
          </w:p>
          <w:p>
            <w:pPr>
              <w:widowControl/>
              <w:numPr>
                <w:ilvl w:val="0"/>
                <w:numId w:val="2"/>
              </w:numPr>
              <w:adjustRightInd w:val="0"/>
              <w:snapToGrid w:val="0"/>
              <w:spacing w:line="360" w:lineRule="auto"/>
              <w:ind w:left="425" w:leftChars="0" w:hanging="425" w:firstLineChars="0"/>
              <w:jc w:val="left"/>
              <w:rPr>
                <w:rFonts w:hint="eastAsia" w:ascii="宋体" w:hAnsi="宋体" w:cs="Arial"/>
                <w:b w:val="0"/>
                <w:color w:val="auto"/>
                <w:kern w:val="0"/>
                <w:sz w:val="24"/>
                <w:szCs w:val="24"/>
              </w:rPr>
            </w:pPr>
            <w:r>
              <w:rPr>
                <w:rFonts w:hint="eastAsia" w:ascii="宋体" w:hAnsi="宋体" w:cs="Arial"/>
                <w:b w:val="0"/>
                <w:color w:val="auto"/>
                <w:kern w:val="0"/>
                <w:sz w:val="24"/>
                <w:szCs w:val="24"/>
              </w:rPr>
              <w:t>服务期一年，根据实际维护需求按次结算。因设备硬件损坏需更换配件的，根据配件价格按实结算。</w:t>
            </w:r>
          </w:p>
          <w:p>
            <w:pPr>
              <w:widowControl/>
              <w:numPr>
                <w:ilvl w:val="0"/>
                <w:numId w:val="2"/>
              </w:numPr>
              <w:adjustRightInd w:val="0"/>
              <w:snapToGrid w:val="0"/>
              <w:spacing w:line="360" w:lineRule="auto"/>
              <w:ind w:left="425" w:hanging="425" w:firstLineChars="0"/>
              <w:jc w:val="left"/>
              <w:rPr>
                <w:rFonts w:hint="eastAsia" w:ascii="宋体" w:hAnsi="宋体" w:cs="Arial"/>
                <w:color w:val="auto"/>
                <w:kern w:val="0"/>
                <w:sz w:val="24"/>
                <w:szCs w:val="24"/>
                <w:vertAlign w:val="baseline"/>
              </w:rPr>
            </w:pPr>
            <w:r>
              <w:rPr>
                <w:rFonts w:hint="eastAsia" w:ascii="宋体" w:hAnsi="宋体" w:cs="Arial"/>
                <w:b w:val="0"/>
                <w:color w:val="auto"/>
                <w:kern w:val="0"/>
                <w:sz w:val="24"/>
                <w:szCs w:val="24"/>
                <w:lang w:val="en-US" w:eastAsia="zh-CN"/>
              </w:rPr>
              <w:t>正常巡检每2周一次，其他临时性维护根据业主需求，工作日接到用户需求3小时内响应。</w:t>
            </w:r>
            <w:bookmarkStart w:id="1" w:name="_GoBack"/>
            <w:bookmarkEnd w:id="1"/>
          </w:p>
        </w:tc>
        <w:tc>
          <w:tcPr>
            <w:tcW w:w="945" w:type="dxa"/>
            <w:vAlign w:val="center"/>
          </w:tcPr>
          <w:p>
            <w:pPr>
              <w:rPr>
                <w:color w:val="auto"/>
              </w:rPr>
            </w:pPr>
          </w:p>
        </w:tc>
      </w:tr>
    </w:tbl>
    <w:p>
      <w:pPr>
        <w:widowControl/>
        <w:adjustRightInd w:val="0"/>
        <w:snapToGrid w:val="0"/>
        <w:spacing w:line="360" w:lineRule="auto"/>
        <w:ind w:firstLine="470" w:firstLineChars="196"/>
        <w:jc w:val="left"/>
        <w:rPr>
          <w:color w:val="auto"/>
        </w:rPr>
      </w:pPr>
      <w:r>
        <w:rPr>
          <w:rFonts w:hint="eastAsia" w:ascii="宋体" w:hAnsi="宋体" w:cs="Arial"/>
          <w:color w:val="auto"/>
          <w:kern w:val="0"/>
          <w:sz w:val="24"/>
        </w:rPr>
        <w:t>上述服务内容，其中硬件故障检测，在保修期内，中选方负责送商家\厂家保修；在保修期外（包括不是从中选方采购的保修期外设备），进行有偿维修，中选方仅收取维修成本费，维修费用经采购方确认后开展维修工作。配件损坏时，由中选方向采购方通告，同时提供新配件型号和单价，由采购方进行评估后，决定是否向中选方采购。</w:t>
      </w:r>
    </w:p>
    <w:p>
      <w:pPr>
        <w:widowControl/>
        <w:numPr>
          <w:ilvl w:val="0"/>
          <w:numId w:val="3"/>
        </w:numPr>
        <w:spacing w:line="360" w:lineRule="auto"/>
        <w:ind w:firstLine="360" w:firstLineChars="150"/>
        <w:jc w:val="left"/>
        <w:rPr>
          <w:rFonts w:ascii="宋体" w:hAnsi="宋体" w:cs="Arial Unicode MS"/>
          <w:color w:val="auto"/>
          <w:kern w:val="0"/>
          <w:sz w:val="24"/>
        </w:rPr>
      </w:pPr>
      <w:r>
        <w:rPr>
          <w:rFonts w:hint="eastAsia" w:ascii="宋体" w:hAnsi="宋体" w:cs="Arial Unicode MS"/>
          <w:color w:val="auto"/>
          <w:kern w:val="0"/>
          <w:sz w:val="24"/>
        </w:rPr>
        <w:t>备注：</w:t>
      </w:r>
    </w:p>
    <w:p>
      <w:pPr>
        <w:widowControl/>
        <w:spacing w:line="360" w:lineRule="auto"/>
        <w:ind w:firstLine="360" w:firstLineChars="150"/>
        <w:jc w:val="left"/>
        <w:rPr>
          <w:color w:val="auto"/>
        </w:rPr>
      </w:pPr>
      <w:r>
        <w:rPr>
          <w:rFonts w:hint="eastAsia" w:ascii="宋体" w:hAnsi="宋体" w:cs="Arial Unicode MS"/>
          <w:color w:val="auto"/>
          <w:kern w:val="0"/>
          <w:sz w:val="24"/>
        </w:rPr>
        <w:t>（1）本次询价采购设定年度总价最高限价人民币50000</w:t>
      </w:r>
      <w:r>
        <w:rPr>
          <w:rFonts w:hint="eastAsia" w:ascii="宋体" w:hAnsi="宋体" w:cs="Arial Unicode MS"/>
          <w:b/>
          <w:color w:val="auto"/>
          <w:kern w:val="0"/>
          <w:sz w:val="24"/>
        </w:rPr>
        <w:t>元</w:t>
      </w:r>
      <w:r>
        <w:rPr>
          <w:rFonts w:hint="eastAsia" w:ascii="宋体" w:hAnsi="宋体" w:cs="Arial Unicode MS"/>
          <w:color w:val="auto"/>
          <w:kern w:val="0"/>
          <w:sz w:val="24"/>
        </w:rPr>
        <w:t>（大写：伍万元整），其中单次服务费最高限价人民币600元（大写：陆佰元整），报价人报价超出最高限价或超出单价最高限价的则为无效报价。</w:t>
      </w:r>
    </w:p>
    <w:p>
      <w:pPr>
        <w:widowControl/>
        <w:spacing w:line="360" w:lineRule="auto"/>
        <w:ind w:firstLine="480" w:firstLineChars="200"/>
        <w:jc w:val="left"/>
        <w:rPr>
          <w:rFonts w:ascii="宋体" w:hAnsi="宋体"/>
          <w:color w:val="auto"/>
          <w:sz w:val="24"/>
        </w:rPr>
      </w:pPr>
      <w:r>
        <w:rPr>
          <w:rFonts w:hint="eastAsia" w:ascii="宋体" w:hAnsi="宋体" w:cs="Arial Unicode MS"/>
          <w:color w:val="auto"/>
          <w:kern w:val="0"/>
          <w:sz w:val="24"/>
        </w:rPr>
        <w:t>（2）</w:t>
      </w:r>
      <w:r>
        <w:rPr>
          <w:rFonts w:hint="eastAsia" w:ascii="宋体" w:hAnsi="宋体"/>
          <w:color w:val="auto"/>
          <w:sz w:val="24"/>
        </w:rPr>
        <w:t>本次询价项目签订</w:t>
      </w:r>
      <w:r>
        <w:rPr>
          <w:rFonts w:hint="eastAsia" w:ascii="宋体" w:hAnsi="宋体" w:cs="宋体"/>
          <w:color w:val="auto"/>
          <w:sz w:val="24"/>
        </w:rPr>
        <w:t>固定单价合同</w:t>
      </w:r>
      <w:r>
        <w:rPr>
          <w:rFonts w:hint="eastAsia" w:ascii="宋体" w:hAnsi="宋体"/>
          <w:color w:val="auto"/>
          <w:sz w:val="24"/>
        </w:rPr>
        <w:t>，询价一览表中的项目和内容为全部维护内容，单次服务内容以采购方和中选方确认的单次任务单为准，最终结算以实际开展的网络安全及电脑设备维护服务次数为准，按照</w:t>
      </w:r>
      <w:r>
        <w:rPr>
          <w:rFonts w:ascii="宋体" w:hAnsi="宋体"/>
          <w:color w:val="auto"/>
          <w:sz w:val="24"/>
        </w:rPr>
        <w:t>网络安全及电脑设备维护服务</w:t>
      </w:r>
      <w:r>
        <w:rPr>
          <w:rFonts w:hint="eastAsia" w:ascii="宋体" w:hAnsi="宋体"/>
          <w:color w:val="auto"/>
          <w:sz w:val="24"/>
        </w:rPr>
        <w:t>报价单价乘以实际维护次数进行结算，报价人应充分考虑由此可能导致的各种风险。</w:t>
      </w:r>
    </w:p>
    <w:p>
      <w:pPr>
        <w:widowControl/>
        <w:spacing w:line="360" w:lineRule="auto"/>
        <w:ind w:firstLine="360" w:firstLineChars="150"/>
        <w:jc w:val="left"/>
        <w:rPr>
          <w:rFonts w:hint="eastAsia" w:ascii="宋体" w:hAnsi="宋体" w:cs="宋体"/>
          <w:color w:val="auto"/>
          <w:kern w:val="0"/>
          <w:sz w:val="24"/>
        </w:rPr>
      </w:pPr>
      <w:r>
        <w:rPr>
          <w:rFonts w:hint="eastAsia" w:ascii="宋体" w:hAnsi="宋体" w:cs="Arial Unicode MS"/>
          <w:color w:val="auto"/>
          <w:kern w:val="0"/>
          <w:sz w:val="24"/>
        </w:rPr>
        <w:t>（3）</w:t>
      </w:r>
      <w:r>
        <w:rPr>
          <w:rFonts w:hint="eastAsia" w:ascii="宋体" w:hAnsi="宋体" w:cs="宋体"/>
          <w:color w:val="auto"/>
          <w:kern w:val="0"/>
          <w:sz w:val="24"/>
        </w:rPr>
        <w:t>报价中应包含</w:t>
      </w:r>
      <w:r>
        <w:rPr>
          <w:rFonts w:ascii="宋体" w:hAnsi="宋体" w:cs="宋体"/>
          <w:color w:val="auto"/>
          <w:kern w:val="0"/>
          <w:sz w:val="24"/>
        </w:rPr>
        <w:t>网络安全及电脑设备维护服务</w:t>
      </w:r>
      <w:r>
        <w:rPr>
          <w:rFonts w:hint="eastAsia" w:ascii="宋体" w:hAnsi="宋体" w:cs="宋体"/>
          <w:color w:val="auto"/>
          <w:kern w:val="0"/>
          <w:sz w:val="24"/>
        </w:rPr>
        <w:t>的交通费、人工费等费用。由采购方技术部门按次编制单次任务工作单，单次任务工作单应明确需维护设备或维护内容，每份单次任务工作单记为单次服务，单次服务可包含多项服务，工作量由双方共同协商，由</w:t>
      </w:r>
      <w:r>
        <w:rPr>
          <w:rFonts w:hint="eastAsia" w:ascii="宋体" w:hAnsi="宋体" w:cs="宋体"/>
          <w:color w:val="auto"/>
          <w:kern w:val="0"/>
          <w:sz w:val="24"/>
          <w:lang w:eastAsia="zh-CN"/>
        </w:rPr>
        <w:t>甲</w:t>
      </w:r>
      <w:r>
        <w:rPr>
          <w:rFonts w:hint="eastAsia" w:ascii="宋体" w:hAnsi="宋体" w:cs="宋体"/>
          <w:color w:val="auto"/>
          <w:kern w:val="0"/>
          <w:sz w:val="24"/>
        </w:rPr>
        <w:t>方技术负责人</w:t>
      </w:r>
      <w:r>
        <w:rPr>
          <w:rFonts w:hint="eastAsia" w:ascii="宋体" w:hAnsi="宋体" w:cs="宋体"/>
          <w:color w:val="auto"/>
          <w:kern w:val="0"/>
          <w:sz w:val="24"/>
          <w:lang w:eastAsia="zh-CN"/>
        </w:rPr>
        <w:t>、乙方服务工程师</w:t>
      </w:r>
      <w:r>
        <w:rPr>
          <w:rFonts w:hint="eastAsia" w:ascii="宋体" w:hAnsi="宋体" w:cs="宋体"/>
          <w:color w:val="auto"/>
          <w:kern w:val="0"/>
          <w:sz w:val="24"/>
        </w:rPr>
        <w:t>进行签字确认。</w:t>
      </w:r>
    </w:p>
    <w:p>
      <w:pPr>
        <w:widowControl/>
        <w:spacing w:line="360" w:lineRule="auto"/>
        <w:ind w:firstLine="360" w:firstLineChars="150"/>
        <w:jc w:val="left"/>
        <w:rPr>
          <w:rFonts w:ascii="宋体" w:hAnsi="宋体"/>
          <w:color w:val="auto"/>
          <w:sz w:val="24"/>
        </w:rPr>
      </w:pPr>
      <w:r>
        <w:rPr>
          <w:rFonts w:hint="eastAsia" w:ascii="宋体" w:hAnsi="宋体" w:cs="宋体"/>
          <w:color w:val="auto"/>
          <w:kern w:val="0"/>
          <w:sz w:val="24"/>
          <w:lang w:val="en-US" w:eastAsia="zh-CN"/>
        </w:rPr>
        <w:t>本项下服务均按照单次任务单进行验收，验收合格后由甲方技术负责人、乙方服务工程师进行签字确认。报价人按照季度向采购方申请结算并</w:t>
      </w:r>
      <w:r>
        <w:rPr>
          <w:rFonts w:hint="eastAsia" w:ascii="宋体" w:hAnsi="宋体" w:cs="宋体"/>
          <w:color w:val="auto"/>
          <w:kern w:val="0"/>
          <w:sz w:val="24"/>
        </w:rPr>
        <w:t>开具增值税</w:t>
      </w:r>
      <w:r>
        <w:rPr>
          <w:rFonts w:hint="eastAsia" w:ascii="宋体" w:hAnsi="宋体" w:cs="宋体"/>
          <w:color w:val="auto"/>
          <w:kern w:val="0"/>
          <w:sz w:val="24"/>
          <w:lang w:val="en-US" w:eastAsia="zh-CN"/>
        </w:rPr>
        <w:t>专用</w:t>
      </w:r>
      <w:r>
        <w:rPr>
          <w:rFonts w:hint="eastAsia" w:ascii="宋体" w:hAnsi="宋体" w:cs="宋体"/>
          <w:color w:val="auto"/>
          <w:kern w:val="0"/>
          <w:sz w:val="24"/>
        </w:rPr>
        <w:t>发票结算，</w:t>
      </w:r>
      <w:r>
        <w:rPr>
          <w:rFonts w:hint="eastAsia" w:ascii="宋体" w:hAnsi="宋体"/>
          <w:color w:val="auto"/>
          <w:sz w:val="24"/>
        </w:rPr>
        <w:t>采购方在收到发票20个工作日内付完成付款。</w:t>
      </w:r>
    </w:p>
    <w:p>
      <w:pPr>
        <w:widowControl/>
        <w:spacing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（4）违约责任：详见《网络安全及电脑设备维护服务合同</w:t>
      </w:r>
      <w:r>
        <w:rPr>
          <w:rFonts w:hint="eastAsia" w:ascii="宋体" w:hAnsi="宋体"/>
          <w:color w:val="auto"/>
          <w:sz w:val="24"/>
        </w:rPr>
        <w:t>》</w:t>
      </w:r>
      <w:r>
        <w:rPr>
          <w:rFonts w:hint="eastAsia" w:ascii="宋体" w:hAnsi="宋体" w:cs="宋体"/>
          <w:color w:val="auto"/>
          <w:kern w:val="0"/>
          <w:sz w:val="24"/>
        </w:rPr>
        <w:t>约定。</w:t>
      </w:r>
    </w:p>
    <w:p>
      <w:pPr>
        <w:widowControl/>
        <w:snapToGrid w:val="0"/>
        <w:spacing w:line="360" w:lineRule="auto"/>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二、报价须知</w:t>
      </w:r>
    </w:p>
    <w:p>
      <w:pPr>
        <w:pStyle w:val="19"/>
        <w:spacing w:line="360" w:lineRule="auto"/>
        <w:ind w:firstLine="480"/>
        <w:rPr>
          <w:rFonts w:ascii="宋体" w:hAnsi="宋体"/>
          <w:color w:val="auto"/>
          <w:sz w:val="24"/>
          <w:szCs w:val="24"/>
        </w:rPr>
      </w:pPr>
      <w:r>
        <w:rPr>
          <w:rFonts w:hint="eastAsia" w:ascii="宋体" w:hAnsi="宋体" w:cs="Arial Unicode MS"/>
          <w:color w:val="auto"/>
          <w:kern w:val="0"/>
          <w:sz w:val="24"/>
        </w:rPr>
        <w:t>1、</w:t>
      </w:r>
      <w:r>
        <w:rPr>
          <w:rFonts w:hint="eastAsia" w:ascii="宋体" w:hAnsi="宋体" w:cs="Arial Unicode MS"/>
          <w:color w:val="auto"/>
          <w:kern w:val="0"/>
          <w:sz w:val="24"/>
          <w:szCs w:val="24"/>
        </w:rPr>
        <w:t>报价人需</w:t>
      </w:r>
      <w:r>
        <w:rPr>
          <w:rFonts w:hint="eastAsia" w:ascii="宋体" w:hAnsi="宋体"/>
          <w:color w:val="auto"/>
          <w:sz w:val="24"/>
          <w:szCs w:val="24"/>
        </w:rPr>
        <w:t>提供：</w:t>
      </w:r>
      <w:r>
        <w:rPr>
          <w:rFonts w:hint="eastAsia" w:ascii="宋体" w:hAnsi="宋体"/>
          <w:b/>
          <w:color w:val="auto"/>
          <w:sz w:val="24"/>
          <w:szCs w:val="24"/>
        </w:rPr>
        <w:t>营业执照复印件、法定代表人授权委托书、法定代表人身份证复印件、委托人身份证复印件</w:t>
      </w:r>
      <w:r>
        <w:rPr>
          <w:rFonts w:hint="eastAsia" w:ascii="宋体" w:hAnsi="宋体"/>
          <w:color w:val="auto"/>
          <w:sz w:val="24"/>
        </w:rPr>
        <w:t>，</w:t>
      </w:r>
      <w:r>
        <w:rPr>
          <w:rFonts w:hint="eastAsia" w:ascii="宋体" w:hAnsi="宋体"/>
          <w:color w:val="auto"/>
          <w:sz w:val="24"/>
          <w:szCs w:val="24"/>
        </w:rPr>
        <w:t>以上文件需加盖公章，</w:t>
      </w:r>
      <w:r>
        <w:rPr>
          <w:rFonts w:hint="eastAsia" w:ascii="宋体" w:hAnsi="宋体" w:cs="宋体"/>
          <w:color w:val="auto"/>
          <w:kern w:val="0"/>
          <w:sz w:val="24"/>
          <w:szCs w:val="24"/>
        </w:rPr>
        <w:t>原件待询价人需要时备查</w:t>
      </w:r>
      <w:r>
        <w:rPr>
          <w:rFonts w:hint="eastAsia" w:ascii="宋体" w:hAnsi="宋体"/>
          <w:color w:val="auto"/>
          <w:sz w:val="24"/>
          <w:szCs w:val="24"/>
        </w:rPr>
        <w:t>。</w:t>
      </w:r>
      <w:r>
        <w:rPr>
          <w:rFonts w:hint="eastAsia" w:ascii="宋体" w:hAnsi="宋体" w:cs="宋体"/>
          <w:color w:val="auto"/>
          <w:kern w:val="0"/>
          <w:sz w:val="24"/>
          <w:szCs w:val="24"/>
        </w:rPr>
        <w:t>未按此要求的，将被视为无效报价文件。</w:t>
      </w:r>
    </w:p>
    <w:p>
      <w:pPr>
        <w:spacing w:line="360" w:lineRule="auto"/>
        <w:ind w:firstLine="480" w:firstLineChars="200"/>
        <w:rPr>
          <w:rFonts w:ascii="宋体" w:hAnsi="宋体" w:cs="Arial Unicode MS"/>
          <w:color w:val="auto"/>
          <w:kern w:val="0"/>
          <w:sz w:val="24"/>
        </w:rPr>
      </w:pPr>
      <w:r>
        <w:rPr>
          <w:rFonts w:hint="eastAsia" w:ascii="宋体" w:hAnsi="宋体" w:cs="Arial Unicode MS"/>
          <w:color w:val="auto"/>
          <w:kern w:val="0"/>
          <w:sz w:val="24"/>
        </w:rPr>
        <w:t>2、报价人报价的服务必须符合“询价一览表”的要求，须在报价文件中详细说明所提供服务内容。上述技术规格及要求中所发生的一切费用均包含在报价价格中，不接受可选性报价（如详细配置有“可选购、大于、小于、优于”等描述都将视为无效报价）。</w:t>
      </w:r>
    </w:p>
    <w:p>
      <w:pPr>
        <w:spacing w:line="360" w:lineRule="auto"/>
        <w:ind w:firstLine="480" w:firstLineChars="200"/>
        <w:rPr>
          <w:rFonts w:ascii="宋体" w:hAnsi="宋体" w:cs="Arial Unicode MS"/>
          <w:color w:val="auto"/>
          <w:kern w:val="0"/>
          <w:sz w:val="24"/>
        </w:rPr>
      </w:pPr>
      <w:r>
        <w:rPr>
          <w:rFonts w:hint="eastAsia" w:ascii="宋体" w:hAnsi="宋体" w:cs="Arial Unicode MS"/>
          <w:color w:val="auto"/>
          <w:kern w:val="0"/>
          <w:sz w:val="24"/>
        </w:rPr>
        <w:t>3、报价人应遵守相关法规，若报价人违反规定，依照违规情节将其列入违规供应商名单，停止其一个月以上、三年以内的报价资格。</w:t>
      </w:r>
    </w:p>
    <w:p>
      <w:pPr>
        <w:spacing w:line="360" w:lineRule="auto"/>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4、无论报价过程中的做法和结果如何，报价人自行承担所有参与报价的全部有关费用。</w:t>
      </w:r>
    </w:p>
    <w:p>
      <w:pPr>
        <w:autoSpaceDE w:val="0"/>
        <w:autoSpaceDN w:val="0"/>
        <w:adjustRightInd w:val="0"/>
        <w:spacing w:line="360" w:lineRule="auto"/>
        <w:ind w:firstLine="720" w:firstLineChars="300"/>
        <w:jc w:val="left"/>
        <w:rPr>
          <w:rFonts w:ascii="宋体" w:hAnsi="宋体" w:cs="Arial Unicode MS"/>
          <w:color w:val="auto"/>
          <w:kern w:val="0"/>
          <w:sz w:val="24"/>
        </w:rPr>
      </w:pPr>
      <w:r>
        <w:rPr>
          <w:rFonts w:hint="eastAsia" w:ascii="宋体" w:hAnsi="宋体" w:cs="Arial Unicode MS"/>
          <w:color w:val="auto"/>
          <w:kern w:val="0"/>
          <w:sz w:val="24"/>
        </w:rPr>
        <w:t>三、 评审办法、时间及地点</w:t>
      </w:r>
    </w:p>
    <w:p>
      <w:pPr>
        <w:autoSpaceDE w:val="0"/>
        <w:autoSpaceDN w:val="0"/>
        <w:adjustRightInd w:val="0"/>
        <w:spacing w:line="360" w:lineRule="auto"/>
        <w:jc w:val="left"/>
        <w:rPr>
          <w:rFonts w:ascii="宋体" w:hAnsi="宋体" w:cs="Arial Unicode MS"/>
          <w:color w:val="auto"/>
          <w:kern w:val="0"/>
          <w:sz w:val="24"/>
        </w:rPr>
      </w:pPr>
      <w:r>
        <w:rPr>
          <w:rFonts w:hint="eastAsia" w:ascii="宋体" w:hAnsi="宋体" w:cs="Arial Unicode MS"/>
          <w:color w:val="auto"/>
          <w:kern w:val="0"/>
          <w:sz w:val="24"/>
        </w:rPr>
        <w:t>1.评审办法：符合条件的供应商最低价成交。</w:t>
      </w:r>
    </w:p>
    <w:p>
      <w:pPr>
        <w:autoSpaceDE w:val="0"/>
        <w:autoSpaceDN w:val="0"/>
        <w:adjustRightInd w:val="0"/>
        <w:spacing w:line="360" w:lineRule="auto"/>
        <w:jc w:val="left"/>
        <w:rPr>
          <w:rFonts w:ascii="宋体" w:hAnsi="宋体" w:cs="Arial Unicode MS"/>
          <w:color w:val="auto"/>
          <w:kern w:val="0"/>
          <w:sz w:val="24"/>
        </w:rPr>
      </w:pPr>
      <w:r>
        <w:rPr>
          <w:rFonts w:hint="eastAsia" w:ascii="宋体" w:hAnsi="宋体" w:cs="Arial Unicode MS"/>
          <w:color w:val="auto"/>
          <w:kern w:val="0"/>
          <w:sz w:val="24"/>
        </w:rPr>
        <w:t>2.评审时间及地点：</w:t>
      </w:r>
      <w:r>
        <w:rPr>
          <w:rFonts w:hint="eastAsia" w:ascii="宋体" w:hAnsi="宋体" w:cs="Arial Unicode MS"/>
          <w:color w:val="auto"/>
          <w:kern w:val="0"/>
          <w:sz w:val="24"/>
          <w:lang w:val="en-US" w:eastAsia="zh-CN"/>
        </w:rPr>
        <w:t>2022年10月31日下午16：00</w:t>
      </w:r>
      <w:r>
        <w:rPr>
          <w:rFonts w:hint="eastAsia" w:ascii="宋体" w:hAnsi="宋体" w:cs="Arial Unicode MS"/>
          <w:color w:val="auto"/>
          <w:kern w:val="0"/>
          <w:sz w:val="24"/>
        </w:rPr>
        <w:t>，位于福州市滨海水务发展有限公司确定成交供应商。</w:t>
      </w:r>
    </w:p>
    <w:p>
      <w:pPr>
        <w:autoSpaceDE w:val="0"/>
        <w:autoSpaceDN w:val="0"/>
        <w:adjustRightInd w:val="0"/>
        <w:spacing w:line="360" w:lineRule="auto"/>
        <w:jc w:val="left"/>
        <w:rPr>
          <w:rFonts w:ascii="宋体" w:hAnsi="宋体" w:cs="Arial Unicode MS"/>
          <w:color w:val="auto"/>
          <w:kern w:val="0"/>
          <w:sz w:val="24"/>
        </w:rPr>
      </w:pPr>
      <w:r>
        <w:rPr>
          <w:rFonts w:hint="eastAsia" w:ascii="宋体" w:hAnsi="宋体" w:cs="Arial Unicode MS"/>
          <w:color w:val="auto"/>
          <w:kern w:val="0"/>
          <w:sz w:val="24"/>
        </w:rPr>
        <w:t xml:space="preserve">四、签订合同 </w:t>
      </w:r>
    </w:p>
    <w:p>
      <w:pPr>
        <w:adjustRightInd w:val="0"/>
        <w:snapToGrid w:val="0"/>
        <w:spacing w:line="360" w:lineRule="auto"/>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在通知成交后，根据采购人要求在规定时间内签订合同。</w:t>
      </w:r>
    </w:p>
    <w:p>
      <w:pPr>
        <w:adjustRightInd w:val="0"/>
        <w:snapToGrid w:val="0"/>
        <w:spacing w:line="360" w:lineRule="auto"/>
        <w:jc w:val="left"/>
        <w:rPr>
          <w:rFonts w:ascii="宋体" w:hAnsi="宋体" w:cs="Arial Unicode MS"/>
          <w:color w:val="auto"/>
          <w:kern w:val="0"/>
          <w:sz w:val="24"/>
        </w:rPr>
      </w:pPr>
      <w:r>
        <w:rPr>
          <w:rFonts w:hint="eastAsia" w:ascii="宋体" w:hAnsi="宋体" w:cs="Arial Unicode MS"/>
          <w:color w:val="auto"/>
          <w:kern w:val="0"/>
          <w:sz w:val="24"/>
        </w:rPr>
        <w:t>五、询价结果确认</w:t>
      </w:r>
    </w:p>
    <w:p>
      <w:pPr>
        <w:widowControl/>
        <w:spacing w:line="360" w:lineRule="auto"/>
        <w:ind w:firstLine="480" w:firstLineChars="200"/>
        <w:jc w:val="left"/>
        <w:rPr>
          <w:rFonts w:ascii="宋体" w:hAnsi="宋体"/>
          <w:color w:val="auto"/>
          <w:sz w:val="24"/>
        </w:rPr>
      </w:pPr>
      <w:r>
        <w:rPr>
          <w:rFonts w:hint="eastAsia" w:ascii="宋体" w:hAnsi="宋体" w:cs="Arial Unicode MS"/>
          <w:color w:val="auto"/>
          <w:kern w:val="0"/>
          <w:sz w:val="24"/>
        </w:rPr>
        <w:t>确定成交供应商后五个工作日内，成交结果</w:t>
      </w:r>
      <w:r>
        <w:rPr>
          <w:rFonts w:hint="eastAsia" w:ascii="宋体" w:hAnsi="宋体"/>
          <w:color w:val="auto"/>
          <w:sz w:val="24"/>
        </w:rPr>
        <w:t>将以电话形式告知成交供应商。</w:t>
      </w:r>
    </w:p>
    <w:p>
      <w:pPr>
        <w:pStyle w:val="12"/>
        <w:spacing w:line="360" w:lineRule="auto"/>
        <w:rPr>
          <w:color w:val="auto"/>
        </w:rPr>
      </w:pPr>
    </w:p>
    <w:p>
      <w:pPr>
        <w:widowControl/>
        <w:spacing w:line="360" w:lineRule="auto"/>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附件1.需方硬件设备清单参考</w:t>
      </w:r>
    </w:p>
    <w:p>
      <w:pPr>
        <w:widowControl/>
        <w:spacing w:line="360" w:lineRule="auto"/>
        <w:ind w:firstLine="480" w:firstLineChars="200"/>
        <w:jc w:val="left"/>
        <w:rPr>
          <w:rFonts w:ascii="宋体" w:hAnsi="宋体" w:cs="Arial Unicode MS"/>
          <w:color w:val="auto"/>
          <w:kern w:val="0"/>
          <w:sz w:val="24"/>
        </w:rPr>
      </w:pPr>
      <w:r>
        <w:rPr>
          <w:rFonts w:hint="eastAsia" w:ascii="宋体" w:hAnsi="宋体" w:cs="Arial Unicode MS"/>
          <w:color w:val="auto"/>
          <w:kern w:val="0"/>
          <w:sz w:val="24"/>
        </w:rPr>
        <w:t>附件2.</w:t>
      </w:r>
      <w:r>
        <w:rPr>
          <w:rFonts w:hint="eastAsia" w:ascii="宋体" w:hAnsi="宋体" w:cs="宋体"/>
          <w:color w:val="auto"/>
          <w:kern w:val="0"/>
          <w:sz w:val="24"/>
        </w:rPr>
        <w:t>网络安全及电脑设备维护服务合同</w:t>
      </w:r>
    </w:p>
    <w:p>
      <w:pPr>
        <w:spacing w:line="360" w:lineRule="auto"/>
        <w:jc w:val="right"/>
        <w:rPr>
          <w:rFonts w:ascii="宋体" w:hAnsi="宋体" w:cs="Arial Unicode MS"/>
          <w:color w:val="auto"/>
          <w:kern w:val="0"/>
          <w:sz w:val="24"/>
        </w:rPr>
      </w:pPr>
    </w:p>
    <w:p>
      <w:pPr>
        <w:widowControl/>
        <w:spacing w:line="360" w:lineRule="auto"/>
        <w:ind w:firstLine="5040" w:firstLineChars="2100"/>
        <w:jc w:val="left"/>
        <w:rPr>
          <w:rFonts w:ascii="宋体" w:hAnsi="宋体" w:cs="Arial Unicode MS"/>
          <w:color w:val="auto"/>
          <w:kern w:val="0"/>
          <w:sz w:val="24"/>
        </w:rPr>
      </w:pPr>
      <w:r>
        <w:rPr>
          <w:rFonts w:hint="eastAsia" w:ascii="宋体" w:hAnsi="宋体" w:cs="Arial Unicode MS"/>
          <w:color w:val="auto"/>
          <w:kern w:val="0"/>
          <w:sz w:val="24"/>
        </w:rPr>
        <w:t xml:space="preserve">福州市滨海水务发展有限公司    </w:t>
      </w:r>
    </w:p>
    <w:p>
      <w:pPr>
        <w:widowControl/>
        <w:spacing w:line="360" w:lineRule="auto"/>
        <w:ind w:firstLine="5520" w:firstLineChars="2300"/>
        <w:jc w:val="left"/>
        <w:rPr>
          <w:rFonts w:ascii="宋体" w:hAnsi="宋体" w:cs="Arial Unicode MS"/>
          <w:color w:val="auto"/>
          <w:kern w:val="0"/>
          <w:sz w:val="24"/>
        </w:rPr>
      </w:pPr>
      <w:r>
        <w:rPr>
          <w:rFonts w:hint="eastAsia" w:ascii="宋体" w:hAnsi="宋体" w:cs="Arial Unicode MS"/>
          <w:color w:val="auto"/>
          <w:kern w:val="0"/>
          <w:sz w:val="24"/>
        </w:rPr>
        <w:t>2022年</w:t>
      </w:r>
      <w:r>
        <w:rPr>
          <w:rFonts w:hint="eastAsia" w:ascii="宋体" w:hAnsi="宋体" w:cs="Arial Unicode MS"/>
          <w:color w:val="auto"/>
          <w:kern w:val="0"/>
          <w:sz w:val="24"/>
          <w:lang w:val="en-US" w:eastAsia="zh-CN"/>
        </w:rPr>
        <w:t>10</w:t>
      </w:r>
      <w:r>
        <w:rPr>
          <w:rFonts w:hint="eastAsia" w:ascii="宋体" w:hAnsi="宋体" w:cs="Arial Unicode MS"/>
          <w:color w:val="auto"/>
          <w:kern w:val="0"/>
          <w:sz w:val="24"/>
        </w:rPr>
        <w:t>月</w:t>
      </w:r>
      <w:r>
        <w:rPr>
          <w:rFonts w:hint="eastAsia" w:ascii="宋体" w:hAnsi="宋体" w:cs="Arial Unicode MS"/>
          <w:color w:val="auto"/>
          <w:kern w:val="0"/>
          <w:sz w:val="24"/>
          <w:lang w:val="en-US" w:eastAsia="zh-CN"/>
        </w:rPr>
        <w:t>2</w:t>
      </w:r>
      <w:r>
        <w:rPr>
          <w:rFonts w:hint="eastAsia" w:ascii="宋体" w:hAnsi="宋体" w:cs="Arial Unicode MS"/>
          <w:color w:val="auto"/>
          <w:kern w:val="0"/>
          <w:sz w:val="24"/>
          <w:lang w:val="en-US" w:eastAsia="zh-CN"/>
        </w:rPr>
        <w:t>6</w:t>
      </w:r>
      <w:r>
        <w:rPr>
          <w:rFonts w:hint="eastAsia" w:ascii="宋体" w:hAnsi="宋体" w:cs="Arial Unicode MS"/>
          <w:color w:val="auto"/>
          <w:kern w:val="0"/>
          <w:sz w:val="24"/>
        </w:rPr>
        <w:t>日</w:t>
      </w:r>
    </w:p>
    <w:p>
      <w:pPr>
        <w:spacing w:line="360" w:lineRule="auto"/>
        <w:jc w:val="right"/>
        <w:rPr>
          <w:rFonts w:ascii="宋体" w:hAnsi="宋体" w:cs="Arial Unicode MS"/>
          <w:color w:val="auto"/>
          <w:kern w:val="0"/>
          <w:sz w:val="24"/>
        </w:rPr>
      </w:pPr>
    </w:p>
    <w:p>
      <w:pPr>
        <w:spacing w:line="360" w:lineRule="auto"/>
        <w:jc w:val="right"/>
        <w:rPr>
          <w:rFonts w:ascii="宋体" w:hAnsi="宋体" w:cs="Arial Unicode MS"/>
          <w:color w:val="auto"/>
          <w:kern w:val="0"/>
          <w:sz w:val="24"/>
        </w:rPr>
      </w:pPr>
    </w:p>
    <w:p>
      <w:pPr>
        <w:spacing w:line="360" w:lineRule="auto"/>
        <w:jc w:val="right"/>
        <w:rPr>
          <w:rFonts w:ascii="宋体" w:hAnsi="宋体" w:cs="Arial Unicode MS"/>
          <w:color w:val="auto"/>
          <w:kern w:val="0"/>
          <w:sz w:val="24"/>
        </w:rPr>
      </w:pPr>
    </w:p>
    <w:p>
      <w:pPr>
        <w:spacing w:line="360" w:lineRule="auto"/>
        <w:jc w:val="right"/>
        <w:rPr>
          <w:rFonts w:ascii="宋体" w:hAnsi="宋体" w:cs="Arial Unicode MS"/>
          <w:color w:val="auto"/>
          <w:kern w:val="0"/>
          <w:sz w:val="24"/>
        </w:rPr>
      </w:pPr>
    </w:p>
    <w:p>
      <w:pPr>
        <w:spacing w:line="360" w:lineRule="auto"/>
        <w:jc w:val="right"/>
        <w:rPr>
          <w:rFonts w:ascii="宋体" w:hAnsi="宋体" w:cs="Arial Unicode MS"/>
          <w:color w:val="auto"/>
          <w:kern w:val="0"/>
          <w:sz w:val="24"/>
        </w:rPr>
      </w:pPr>
    </w:p>
    <w:p>
      <w:pPr>
        <w:spacing w:line="360" w:lineRule="auto"/>
        <w:jc w:val="left"/>
        <w:rPr>
          <w:rFonts w:ascii="宋体" w:hAnsi="宋体" w:cs="Arial Unicode MS"/>
          <w:b/>
          <w:bCs/>
          <w:color w:val="auto"/>
          <w:kern w:val="0"/>
          <w:sz w:val="24"/>
        </w:rPr>
      </w:pPr>
      <w:r>
        <w:rPr>
          <w:rFonts w:hint="eastAsia" w:ascii="宋体" w:hAnsi="宋体" w:cs="Arial Unicode MS"/>
          <w:b/>
          <w:bCs/>
          <w:color w:val="auto"/>
          <w:kern w:val="0"/>
          <w:sz w:val="24"/>
        </w:rPr>
        <w:br w:type="page"/>
      </w:r>
    </w:p>
    <w:p>
      <w:pPr>
        <w:adjustRightInd w:val="0"/>
        <w:snapToGrid w:val="0"/>
        <w:spacing w:line="360" w:lineRule="auto"/>
        <w:jc w:val="left"/>
        <w:rPr>
          <w:rFonts w:ascii="宋体" w:hAnsi="宋体" w:cs="Arial Unicode MS"/>
          <w:b/>
          <w:bCs/>
          <w:color w:val="auto"/>
          <w:kern w:val="0"/>
          <w:sz w:val="24"/>
        </w:rPr>
      </w:pPr>
      <w:r>
        <w:rPr>
          <w:rFonts w:hint="eastAsia" w:ascii="宋体" w:hAnsi="宋体" w:cs="Arial Unicode MS"/>
          <w:b/>
          <w:bCs/>
          <w:color w:val="auto"/>
          <w:kern w:val="0"/>
          <w:sz w:val="24"/>
        </w:rPr>
        <w:t>附件1：需方硬件设备清单参考</w:t>
      </w:r>
    </w:p>
    <w:p>
      <w:pPr>
        <w:spacing w:line="500" w:lineRule="exact"/>
        <w:ind w:firstLine="281" w:firstLineChars="100"/>
        <w:jc w:val="both"/>
        <w:rPr>
          <w:rFonts w:ascii="宋体" w:hAnsi="宋体"/>
          <w:b/>
          <w:bCs/>
          <w:color w:val="auto"/>
          <w:sz w:val="28"/>
          <w:szCs w:val="28"/>
        </w:rPr>
      </w:pPr>
      <w:r>
        <w:rPr>
          <w:rFonts w:ascii="宋体" w:hAnsi="宋体"/>
          <w:b/>
          <w:bCs/>
          <w:color w:val="auto"/>
          <w:sz w:val="28"/>
          <w:szCs w:val="28"/>
        </w:rPr>
        <w:t>1</w:t>
      </w:r>
      <w:r>
        <w:rPr>
          <w:rFonts w:hint="eastAsia" w:ascii="宋体" w:hAnsi="宋体"/>
          <w:b/>
          <w:bCs/>
          <w:color w:val="auto"/>
          <w:sz w:val="28"/>
          <w:szCs w:val="28"/>
        </w:rPr>
        <w:t>、电脑（含台式机和笔记本）数量60台</w:t>
      </w:r>
    </w:p>
    <w:p>
      <w:pPr>
        <w:spacing w:line="400" w:lineRule="exact"/>
        <w:ind w:firstLine="281" w:firstLineChars="100"/>
        <w:rPr>
          <w:rFonts w:hint="eastAsia" w:ascii="宋体" w:hAnsi="宋体"/>
          <w:b/>
          <w:bCs/>
          <w:color w:val="auto"/>
          <w:sz w:val="28"/>
          <w:szCs w:val="28"/>
        </w:rPr>
      </w:pPr>
      <w:r>
        <w:rPr>
          <w:rFonts w:ascii="宋体" w:hAnsi="宋体"/>
          <w:b/>
          <w:bCs/>
          <w:color w:val="auto"/>
          <w:sz w:val="28"/>
          <w:szCs w:val="28"/>
        </w:rPr>
        <w:t>2</w:t>
      </w:r>
      <w:r>
        <w:rPr>
          <w:rFonts w:hint="eastAsia" w:ascii="宋体" w:hAnsi="宋体"/>
          <w:b/>
          <w:bCs/>
          <w:color w:val="auto"/>
          <w:sz w:val="28"/>
          <w:szCs w:val="28"/>
        </w:rPr>
        <w:t>、交换机12台</w:t>
      </w:r>
    </w:p>
    <w:p>
      <w:pPr>
        <w:spacing w:line="400" w:lineRule="exact"/>
        <w:ind w:firstLine="281" w:firstLineChars="100"/>
        <w:rPr>
          <w:rFonts w:hint="eastAsia" w:ascii="宋体" w:hAnsi="宋体"/>
          <w:b/>
          <w:bCs/>
          <w:color w:val="auto"/>
          <w:sz w:val="28"/>
          <w:szCs w:val="28"/>
        </w:rPr>
      </w:pPr>
      <w:r>
        <w:rPr>
          <w:rFonts w:ascii="宋体" w:hAnsi="宋体"/>
          <w:b/>
          <w:bCs/>
          <w:color w:val="auto"/>
          <w:sz w:val="28"/>
          <w:szCs w:val="28"/>
        </w:rPr>
        <w:t>3</w:t>
      </w:r>
      <w:r>
        <w:rPr>
          <w:rFonts w:hint="eastAsia" w:ascii="宋体" w:hAnsi="宋体"/>
          <w:b/>
          <w:bCs/>
          <w:color w:val="auto"/>
          <w:sz w:val="28"/>
          <w:szCs w:val="28"/>
        </w:rPr>
        <w:t>、防火墙1台</w:t>
      </w:r>
    </w:p>
    <w:p>
      <w:pPr>
        <w:spacing w:line="400" w:lineRule="exact"/>
        <w:ind w:firstLine="281" w:firstLineChars="100"/>
        <w:rPr>
          <w:rFonts w:hint="eastAsia" w:ascii="宋体" w:hAnsi="宋体"/>
          <w:b/>
          <w:bCs/>
          <w:color w:val="auto"/>
          <w:sz w:val="28"/>
          <w:szCs w:val="28"/>
        </w:rPr>
      </w:pPr>
      <w:r>
        <w:rPr>
          <w:rFonts w:hint="eastAsia" w:ascii="宋体" w:hAnsi="宋体"/>
          <w:b/>
          <w:bCs/>
          <w:color w:val="auto"/>
          <w:sz w:val="28"/>
          <w:szCs w:val="28"/>
        </w:rPr>
        <w:t>4、集线器10台</w:t>
      </w:r>
    </w:p>
    <w:p>
      <w:pPr>
        <w:spacing w:line="400" w:lineRule="exact"/>
        <w:ind w:firstLine="281" w:firstLineChars="100"/>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5、打印机9台</w:t>
      </w:r>
    </w:p>
    <w:p>
      <w:pPr>
        <w:spacing w:line="400" w:lineRule="exact"/>
        <w:ind w:firstLine="281" w:firstLineChars="100"/>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6、投影仪5台</w:t>
      </w:r>
    </w:p>
    <w:p>
      <w:pPr>
        <w:spacing w:line="400" w:lineRule="exact"/>
        <w:ind w:firstLine="281" w:firstLineChars="100"/>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7、电视3台</w:t>
      </w:r>
    </w:p>
    <w:p>
      <w:pPr>
        <w:spacing w:line="400" w:lineRule="exact"/>
        <w:ind w:firstLine="281" w:firstLineChars="100"/>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8、视频会议系统1台</w:t>
      </w:r>
    </w:p>
    <w:p>
      <w:pPr>
        <w:spacing w:line="400" w:lineRule="exact"/>
        <w:ind w:firstLine="281" w:firstLineChars="100"/>
        <w:rPr>
          <w:rFonts w:hint="default" w:ascii="宋体" w:hAnsi="宋体"/>
          <w:b/>
          <w:bCs/>
          <w:color w:val="auto"/>
          <w:sz w:val="28"/>
          <w:szCs w:val="28"/>
          <w:lang w:val="en-US" w:eastAsia="zh-CN"/>
        </w:rPr>
      </w:pPr>
      <w:r>
        <w:rPr>
          <w:rFonts w:hint="eastAsia" w:ascii="宋体" w:hAnsi="宋体"/>
          <w:b/>
          <w:bCs/>
          <w:color w:val="auto"/>
          <w:sz w:val="28"/>
          <w:szCs w:val="28"/>
          <w:lang w:val="en-US" w:eastAsia="zh-CN"/>
        </w:rPr>
        <w:t>9、后续增加的硬件设备等</w:t>
      </w:r>
    </w:p>
    <w:p>
      <w:pPr>
        <w:spacing w:line="360" w:lineRule="auto"/>
        <w:jc w:val="left"/>
        <w:rPr>
          <w:rFonts w:ascii="宋体" w:hAnsi="宋体" w:cs="Arial Unicode MS"/>
          <w:color w:val="auto"/>
          <w:kern w:val="0"/>
          <w:sz w:val="24"/>
        </w:rPr>
      </w:pPr>
      <w:r>
        <w:rPr>
          <w:rFonts w:hint="eastAsia" w:ascii="宋体" w:hAnsi="宋体" w:cs="Arial Unicode MS"/>
          <w:color w:val="auto"/>
          <w:kern w:val="0"/>
          <w:sz w:val="24"/>
        </w:rPr>
        <w:br w:type="page"/>
      </w:r>
    </w:p>
    <w:p>
      <w:pPr>
        <w:spacing w:line="360" w:lineRule="auto"/>
        <w:jc w:val="left"/>
        <w:rPr>
          <w:rFonts w:hint="eastAsia" w:ascii="宋体" w:hAnsi="宋体" w:eastAsia="宋体" w:cs="Arial Unicode MS"/>
          <w:b/>
          <w:bCs/>
          <w:color w:val="auto"/>
          <w:kern w:val="0"/>
          <w:sz w:val="24"/>
          <w:szCs w:val="24"/>
          <w:lang w:val="en-US" w:eastAsia="zh-CN"/>
        </w:rPr>
      </w:pPr>
      <w:r>
        <w:rPr>
          <w:rFonts w:hint="eastAsia" w:ascii="宋体" w:hAnsi="宋体" w:eastAsia="宋体" w:cs="Arial Unicode MS"/>
          <w:b/>
          <w:bCs/>
          <w:color w:val="auto"/>
          <w:kern w:val="0"/>
          <w:sz w:val="24"/>
          <w:szCs w:val="24"/>
          <w:lang w:val="en-US" w:eastAsia="zh-CN"/>
        </w:rPr>
        <w:t>附件2</w:t>
      </w:r>
    </w:p>
    <w:p>
      <w:pPr>
        <w:spacing w:line="360" w:lineRule="auto"/>
        <w:jc w:val="center"/>
        <w:rPr>
          <w:rFonts w:hint="eastAsia" w:ascii="宋体" w:hAnsi="宋体" w:eastAsia="宋体" w:cs="宋体"/>
          <w:b/>
          <w:bCs/>
          <w:color w:val="auto"/>
          <w:sz w:val="40"/>
          <w:szCs w:val="32"/>
        </w:rPr>
      </w:pPr>
      <w:r>
        <w:rPr>
          <w:rFonts w:hint="eastAsia" w:ascii="宋体" w:hAnsi="宋体" w:eastAsia="宋体" w:cs="宋体"/>
          <w:b/>
          <w:bCs/>
          <w:color w:val="auto"/>
          <w:sz w:val="40"/>
          <w:szCs w:val="32"/>
        </w:rPr>
        <w:t>网络安全及电脑设备维护服务合同</w:t>
      </w:r>
    </w:p>
    <w:p>
      <w:pPr>
        <w:adjustRightInd w:val="0"/>
        <w:snapToGrid w:val="0"/>
        <w:spacing w:line="360" w:lineRule="auto"/>
        <w:jc w:val="center"/>
        <w:rPr>
          <w:rFonts w:hint="eastAsia" w:ascii="宋体" w:hAnsi="宋体" w:eastAsia="宋体" w:cs="宋体"/>
          <w:bCs/>
          <w:color w:val="auto"/>
          <w:kern w:val="0"/>
          <w:sz w:val="36"/>
          <w:szCs w:val="36"/>
        </w:rPr>
      </w:pPr>
    </w:p>
    <w:p>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甲方：福州市滨海水务发展有限公司（以下简称“甲方”）</w:t>
      </w:r>
    </w:p>
    <w:p>
      <w:pPr>
        <w:spacing w:line="360" w:lineRule="auto"/>
        <w:rPr>
          <w:rFonts w:hint="eastAsia" w:ascii="宋体" w:hAnsi="宋体" w:eastAsia="宋体" w:cs="宋体"/>
          <w:bCs/>
          <w:color w:val="auto"/>
          <w:sz w:val="24"/>
        </w:rPr>
      </w:pP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乙方：（以下简称“乙方”）</w:t>
      </w:r>
    </w:p>
    <w:p>
      <w:pPr>
        <w:spacing w:line="360" w:lineRule="auto"/>
        <w:jc w:val="left"/>
        <w:rPr>
          <w:rFonts w:hint="eastAsia" w:ascii="宋体" w:hAnsi="宋体" w:eastAsia="宋体" w:cs="宋体"/>
          <w:bCs/>
          <w:color w:val="auto"/>
          <w:sz w:val="24"/>
        </w:rPr>
      </w:pPr>
      <w:r>
        <w:rPr>
          <w:rFonts w:hint="eastAsia" w:ascii="宋体" w:hAnsi="宋体" w:eastAsia="宋体" w:cs="宋体"/>
          <w:bCs/>
          <w:color w:val="auto"/>
          <w:sz w:val="24"/>
        </w:rPr>
        <w:t>联系人：</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 xml:space="preserve">    联系电话：</w:t>
      </w: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甲乙双方本着平等互利的原则，在自愿的基础上，经充分协商，共同订立以下合同：</w:t>
      </w:r>
    </w:p>
    <w:p>
      <w:pPr>
        <w:spacing w:line="360" w:lineRule="auto"/>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第一条 总则</w:t>
      </w:r>
    </w:p>
    <w:p>
      <w:pPr>
        <w:widowControl/>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为确保甲方办公计算机及外设、局域网等相关设备可靠、正常运行，甲方同意乙方承担甲方日常办公计算机及外设、局域网等相关设备的维护服务。乙方保证以快捷的响应、熟练的技术向甲方提供优质可靠的服务。</w:t>
      </w:r>
    </w:p>
    <w:p>
      <w:pPr>
        <w:widowControl/>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szCs w:val="24"/>
        </w:rPr>
        <w:t>协议维护设备以</w:t>
      </w:r>
      <w:r>
        <w:rPr>
          <w:rFonts w:hint="eastAsia" w:ascii="宋体" w:hAnsi="宋体" w:eastAsia="宋体" w:cs="宋体"/>
          <w:color w:val="auto"/>
          <w:sz w:val="24"/>
          <w:szCs w:val="24"/>
          <w:lang w:eastAsia="zh-CN"/>
        </w:rPr>
        <w:t>双</w:t>
      </w:r>
      <w:r>
        <w:rPr>
          <w:rFonts w:hint="eastAsia" w:ascii="宋体" w:hAnsi="宋体" w:eastAsia="宋体" w:cs="宋体"/>
          <w:color w:val="auto"/>
          <w:sz w:val="24"/>
          <w:szCs w:val="24"/>
        </w:rPr>
        <w:t>方技术人员共同登记并签字确认的清单为准。该清单作为本合同的附件，对甲乙双方具有约束力。</w:t>
      </w:r>
    </w:p>
    <w:p>
      <w:pPr>
        <w:widowControl/>
        <w:adjustRightInd w:val="0"/>
        <w:snapToGrid w:val="0"/>
        <w:spacing w:line="360" w:lineRule="auto"/>
        <w:ind w:firstLine="470" w:firstLineChars="196"/>
        <w:jc w:val="left"/>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第二条服务范围和内容</w:t>
      </w:r>
    </w:p>
    <w:p>
      <w:pPr>
        <w:widowControl/>
        <w:adjustRightInd w:val="0"/>
        <w:snapToGrid w:val="0"/>
        <w:spacing w:line="360" w:lineRule="auto"/>
        <w:ind w:firstLine="470" w:firstLineChars="196"/>
        <w:jc w:val="left"/>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一、甲方现有办公地点如下：福州市长乐区文武砂镇漳江路公交场站</w:t>
      </w:r>
    </w:p>
    <w:p>
      <w:pPr>
        <w:widowControl/>
        <w:adjustRightInd w:val="0"/>
        <w:snapToGrid w:val="0"/>
        <w:spacing w:line="360" w:lineRule="auto"/>
        <w:ind w:firstLine="470" w:firstLineChars="196"/>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二、乙方承担甲方办公点的办公计算机及外设、局域网及硬件、电视、投影、音响、LED屏等相关设备的维护服务。</w:t>
      </w:r>
    </w:p>
    <w:p>
      <w:pPr>
        <w:widowControl/>
        <w:adjustRightInd w:val="0"/>
        <w:snapToGrid w:val="0"/>
        <w:spacing w:line="360" w:lineRule="auto"/>
        <w:ind w:firstLine="470" w:firstLineChars="196"/>
        <w:jc w:val="left"/>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第三条 服务清单及价格明细</w:t>
      </w:r>
    </w:p>
    <w:tbl>
      <w:tblPr>
        <w:tblStyle w:val="1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465"/>
        <w:gridCol w:w="3158"/>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6" w:type="dxa"/>
            <w:vAlign w:val="center"/>
          </w:tcPr>
          <w:p>
            <w:pPr>
              <w:spacing w:line="500" w:lineRule="exact"/>
              <w:ind w:firstLine="240" w:firstLineChars="10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3465" w:type="dxa"/>
            <w:vAlign w:val="center"/>
          </w:tcPr>
          <w:p>
            <w:pPr>
              <w:spacing w:line="500" w:lineRule="exact"/>
              <w:ind w:firstLine="240" w:firstLineChars="10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维护内容</w:t>
            </w:r>
          </w:p>
        </w:tc>
        <w:tc>
          <w:tcPr>
            <w:tcW w:w="3158" w:type="dxa"/>
            <w:vAlign w:val="center"/>
          </w:tcPr>
          <w:p>
            <w:pPr>
              <w:spacing w:line="500" w:lineRule="exact"/>
              <w:ind w:firstLine="240" w:firstLineChars="10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服务标准</w:t>
            </w:r>
          </w:p>
        </w:tc>
        <w:tc>
          <w:tcPr>
            <w:tcW w:w="945" w:type="dxa"/>
            <w:vAlign w:val="center"/>
          </w:tcPr>
          <w:p>
            <w:pPr>
              <w:spacing w:line="500" w:lineRule="exact"/>
              <w:ind w:firstLine="240" w:firstLineChars="10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26" w:type="dxa"/>
            <w:vAlign w:val="center"/>
          </w:tcPr>
          <w:p>
            <w:pPr>
              <w:spacing w:line="500" w:lineRule="exact"/>
              <w:ind w:firstLine="240" w:firstLineChars="10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3465" w:type="dxa"/>
            <w:vAlign w:val="center"/>
          </w:tcPr>
          <w:p>
            <w:pPr>
              <w:numPr>
                <w:ilvl w:val="0"/>
                <w:numId w:val="4"/>
              </w:numPr>
              <w:spacing w:line="500" w:lineRule="exact"/>
              <w:ind w:left="0" w:firstLine="0" w:firstLineChars="0"/>
              <w:jc w:val="both"/>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硬件设备故障排除；软件故障排除；电脑外设联接及故障排除。</w:t>
            </w:r>
          </w:p>
          <w:p>
            <w:pPr>
              <w:numPr>
                <w:ilvl w:val="0"/>
                <w:numId w:val="4"/>
              </w:numPr>
              <w:spacing w:line="500" w:lineRule="exact"/>
              <w:ind w:left="0" w:leftChars="0" w:firstLine="0" w:firstLineChars="0"/>
              <w:jc w:val="both"/>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系统软件的安装、恢复、优化；病毒清除及防范。</w:t>
            </w:r>
          </w:p>
          <w:p>
            <w:pPr>
              <w:numPr>
                <w:ilvl w:val="0"/>
                <w:numId w:val="4"/>
              </w:numPr>
              <w:spacing w:line="500" w:lineRule="exact"/>
              <w:ind w:left="0" w:firstLine="0" w:firstLineChars="0"/>
              <w:jc w:val="both"/>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网络设备维护；设备上网设置及维护；互联网设置及维护；打印设备共享及维护；</w:t>
            </w:r>
          </w:p>
          <w:p>
            <w:pPr>
              <w:numPr>
                <w:ilvl w:val="0"/>
                <w:numId w:val="4"/>
              </w:numPr>
              <w:spacing w:line="500" w:lineRule="exact"/>
              <w:ind w:left="0" w:firstLine="0" w:firstLineChars="0"/>
              <w:jc w:val="both"/>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电脑资料备份及最大限度修复。</w:t>
            </w:r>
          </w:p>
          <w:p>
            <w:pPr>
              <w:numPr>
                <w:ilvl w:val="0"/>
                <w:numId w:val="4"/>
              </w:numPr>
              <w:spacing w:line="500" w:lineRule="exact"/>
              <w:ind w:left="0" w:firstLine="0" w:firstLineChars="0"/>
              <w:jc w:val="both"/>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常用系统软件及应用软件的安装、升级、操作使用指导。</w:t>
            </w:r>
          </w:p>
          <w:p>
            <w:pPr>
              <w:numPr>
                <w:ilvl w:val="0"/>
                <w:numId w:val="4"/>
              </w:numPr>
              <w:spacing w:line="500" w:lineRule="exact"/>
              <w:ind w:left="0" w:firstLine="0" w:firstLineChars="0"/>
              <w:jc w:val="both"/>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自有软件的安装调试及操作使用指导。</w:t>
            </w:r>
          </w:p>
          <w:p>
            <w:pPr>
              <w:spacing w:line="500" w:lineRule="exact"/>
              <w:ind w:firstLine="240" w:firstLineChars="100"/>
              <w:rPr>
                <w:rFonts w:hint="eastAsia" w:ascii="宋体" w:hAnsi="宋体" w:eastAsia="宋体" w:cs="宋体"/>
                <w:color w:val="auto"/>
                <w:sz w:val="24"/>
                <w:szCs w:val="24"/>
                <w:vertAlign w:val="baseline"/>
              </w:rPr>
            </w:pPr>
          </w:p>
        </w:tc>
        <w:tc>
          <w:tcPr>
            <w:tcW w:w="3158" w:type="dxa"/>
            <w:vAlign w:val="center"/>
          </w:tcPr>
          <w:p>
            <w:pPr>
              <w:spacing w:line="500" w:lineRule="exact"/>
              <w:ind w:firstLine="240" w:firstLineChars="10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1、保证甲方电脑及网络设备运行正常。</w:t>
            </w:r>
          </w:p>
          <w:p>
            <w:pPr>
              <w:spacing w:line="500" w:lineRule="exact"/>
              <w:ind w:left="0" w:leftChars="0" w:firstLine="240" w:firstLineChars="10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2、建立设备维护档案，并严格保守一切商业机密，配合数据信息的安全使用。</w:t>
            </w:r>
          </w:p>
          <w:p>
            <w:pPr>
              <w:spacing w:line="500" w:lineRule="exact"/>
              <w:ind w:left="0" w:leftChars="0" w:firstLine="240" w:firstLineChars="100"/>
              <w:jc w:val="both"/>
              <w:rPr>
                <w:rFonts w:hint="eastAsia" w:ascii="宋体" w:hAnsi="宋体" w:eastAsia="宋体" w:cs="宋体"/>
                <w:b w:val="0"/>
                <w:color w:val="auto"/>
                <w:sz w:val="24"/>
                <w:szCs w:val="24"/>
                <w:lang w:eastAsia="zh-CN"/>
              </w:rPr>
            </w:pPr>
            <w:r>
              <w:rPr>
                <w:rFonts w:hint="eastAsia" w:ascii="宋体" w:hAnsi="宋体" w:eastAsia="宋体" w:cs="宋体"/>
                <w:b w:val="0"/>
                <w:color w:val="auto"/>
                <w:sz w:val="24"/>
                <w:szCs w:val="24"/>
              </w:rPr>
              <w:t>3、由专业维护人员负责提供不限时电话网络咨询、远程服务</w:t>
            </w:r>
            <w:r>
              <w:rPr>
                <w:rFonts w:hint="eastAsia" w:ascii="宋体" w:hAnsi="宋体" w:eastAsia="宋体" w:cs="宋体"/>
                <w:b w:val="0"/>
                <w:color w:val="auto"/>
                <w:sz w:val="24"/>
                <w:szCs w:val="24"/>
                <w:lang w:eastAsia="zh-CN"/>
              </w:rPr>
              <w:t>；</w:t>
            </w:r>
          </w:p>
          <w:p>
            <w:pPr>
              <w:spacing w:line="500" w:lineRule="exact"/>
              <w:ind w:left="0" w:leftChars="0" w:firstLine="240" w:firstLineChars="100"/>
              <w:jc w:val="both"/>
              <w:rPr>
                <w:rFonts w:hint="eastAsia" w:ascii="宋体" w:hAnsi="宋体" w:eastAsia="宋体" w:cs="宋体"/>
                <w:b w:val="0"/>
                <w:color w:val="auto"/>
                <w:sz w:val="24"/>
                <w:szCs w:val="24"/>
              </w:rPr>
            </w:pPr>
            <w:r>
              <w:rPr>
                <w:rFonts w:hint="eastAsia" w:ascii="宋体" w:hAnsi="宋体" w:eastAsia="宋体" w:cs="宋体"/>
                <w:b w:val="0"/>
                <w:color w:val="auto"/>
                <w:sz w:val="24"/>
                <w:szCs w:val="24"/>
              </w:rPr>
              <w:t>4、服务期一年，根据实际维护需求按次结算。因设备硬件损坏需</w:t>
            </w:r>
            <w:r>
              <w:rPr>
                <w:rFonts w:hint="eastAsia" w:ascii="宋体" w:hAnsi="宋体" w:eastAsia="宋体" w:cs="宋体"/>
                <w:b w:val="0"/>
                <w:color w:val="auto"/>
                <w:sz w:val="24"/>
                <w:szCs w:val="24"/>
                <w:lang w:val="en-US" w:eastAsia="zh-CN"/>
              </w:rPr>
              <w:t xml:space="preserve">  </w:t>
            </w:r>
            <w:r>
              <w:rPr>
                <w:rFonts w:hint="eastAsia" w:ascii="宋体" w:hAnsi="宋体" w:eastAsia="宋体" w:cs="宋体"/>
                <w:b w:val="0"/>
                <w:color w:val="auto"/>
                <w:sz w:val="24"/>
                <w:szCs w:val="24"/>
              </w:rPr>
              <w:t>更换配件的，根据配件价格按实结算。</w:t>
            </w:r>
          </w:p>
          <w:p>
            <w:pPr>
              <w:rPr>
                <w:rFonts w:hint="eastAsia" w:ascii="宋体" w:hAnsi="宋体" w:eastAsia="宋体" w:cs="宋体"/>
                <w:color w:val="auto"/>
              </w:rPr>
            </w:pPr>
            <w:r>
              <w:rPr>
                <w:rFonts w:hint="eastAsia" w:ascii="宋体" w:hAnsi="宋体" w:eastAsia="宋体" w:cs="宋体"/>
                <w:b w:val="0"/>
                <w:color w:val="auto"/>
                <w:sz w:val="24"/>
                <w:szCs w:val="24"/>
                <w:lang w:val="en-US" w:eastAsia="zh-CN"/>
              </w:rPr>
              <w:t>5、正常巡检每2周一次，其他临时性维护根据业主需求，工作日接到用户需求3小时内响应。</w:t>
            </w:r>
          </w:p>
        </w:tc>
        <w:tc>
          <w:tcPr>
            <w:tcW w:w="945" w:type="dxa"/>
            <w:vAlign w:val="center"/>
          </w:tcPr>
          <w:p>
            <w:pPr>
              <w:spacing w:line="500" w:lineRule="exact"/>
              <w:ind w:firstLine="240" w:firstLineChars="100"/>
              <w:rPr>
                <w:rFonts w:hint="eastAsia" w:ascii="宋体" w:hAnsi="宋体" w:eastAsia="宋体" w:cs="宋体"/>
                <w:color w:val="auto"/>
                <w:sz w:val="24"/>
                <w:szCs w:val="24"/>
                <w:vertAlign w:val="baseline"/>
              </w:rPr>
            </w:pPr>
          </w:p>
        </w:tc>
      </w:tr>
    </w:tbl>
    <w:p>
      <w:pPr>
        <w:pStyle w:val="12"/>
        <w:rPr>
          <w:rFonts w:hint="eastAsia" w:ascii="宋体" w:hAnsi="宋体" w:eastAsia="宋体" w:cs="宋体"/>
          <w:color w:val="auto"/>
          <w:sz w:val="24"/>
        </w:rPr>
      </w:pPr>
    </w:p>
    <w:p>
      <w:pPr>
        <w:widowControl/>
        <w:adjustRightInd w:val="0"/>
        <w:snapToGrid w:val="0"/>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备注：上述价格包括</w:t>
      </w:r>
      <w:r>
        <w:rPr>
          <w:rFonts w:hint="eastAsia" w:ascii="宋体" w:hAnsi="宋体" w:eastAsia="宋体" w:cs="宋体"/>
          <w:color w:val="auto"/>
          <w:sz w:val="24"/>
          <w:szCs w:val="24"/>
          <w:u w:val="single"/>
        </w:rPr>
        <w:t>6%</w:t>
      </w:r>
      <w:r>
        <w:rPr>
          <w:rFonts w:hint="eastAsia" w:ascii="宋体" w:hAnsi="宋体" w:eastAsia="宋体" w:cs="宋体"/>
          <w:color w:val="auto"/>
          <w:sz w:val="24"/>
          <w:szCs w:val="24"/>
        </w:rPr>
        <w:t>税、安装、调试、培训、维护费等。</w:t>
      </w:r>
    </w:p>
    <w:p>
      <w:pPr>
        <w:widowControl/>
        <w:adjustRightInd w:val="0"/>
        <w:snapToGrid w:val="0"/>
        <w:spacing w:line="360" w:lineRule="auto"/>
        <w:ind w:firstLine="480" w:firstLineChars="200"/>
        <w:jc w:val="left"/>
        <w:outlineLvl w:val="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第四条 服务方式</w:t>
      </w:r>
    </w:p>
    <w:p>
      <w:pPr>
        <w:pStyle w:val="12"/>
        <w:spacing w:line="360" w:lineRule="auto"/>
        <w:ind w:left="0" w:leftChars="0" w:firstLine="480" w:firstLineChars="200"/>
        <w:rPr>
          <w:rFonts w:hint="eastAsia" w:ascii="宋体" w:hAnsi="宋体" w:eastAsia="宋体" w:cs="宋体"/>
          <w:color w:val="auto"/>
          <w:sz w:val="24"/>
          <w:u w:val="single"/>
          <w:lang w:val="en-US" w:eastAsia="zh-CN"/>
        </w:rPr>
      </w:pPr>
      <w:r>
        <w:rPr>
          <w:rFonts w:hint="eastAsia" w:ascii="宋体" w:hAnsi="宋体" w:eastAsia="宋体" w:cs="宋体"/>
          <w:color w:val="auto"/>
          <w:kern w:val="0"/>
          <w:sz w:val="24"/>
          <w:szCs w:val="24"/>
        </w:rPr>
        <w:t>1.随时响应甲方服务要求，保证设备运行正常；遇大规模电脑病毒爆发等紧急情况时，乙方应加派人手，保证及时解决问题。</w:t>
      </w:r>
    </w:p>
    <w:p>
      <w:pPr>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2.建立设备维护档案，并严格保守一切商业机密，配合数据信息的安全使用。</w:t>
      </w:r>
    </w:p>
    <w:p>
      <w:pPr>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3.由专业维护人员负责提供不限时电话网络咨询、远程服务；</w:t>
      </w:r>
    </w:p>
    <w:p>
      <w:pPr>
        <w:widowControl/>
        <w:snapToGrid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lang w:eastAsia="zh-CN"/>
        </w:rPr>
        <w:t>甲方</w:t>
      </w:r>
      <w:r>
        <w:rPr>
          <w:rFonts w:hint="eastAsia" w:ascii="宋体" w:hAnsi="宋体" w:eastAsia="宋体" w:cs="宋体"/>
          <w:color w:val="auto"/>
          <w:kern w:val="0"/>
          <w:sz w:val="24"/>
        </w:rPr>
        <w:t>按次编制单次任务工作单，单次任务工作单应明确需维护设备或维护内容，每份单次任务工作单记为单次服务，单次服务可包含多项服务，工作量由双方共同协商，由</w:t>
      </w:r>
      <w:r>
        <w:rPr>
          <w:rFonts w:hint="eastAsia" w:ascii="宋体" w:hAnsi="宋体" w:eastAsia="宋体" w:cs="宋体"/>
          <w:color w:val="auto"/>
          <w:kern w:val="0"/>
          <w:sz w:val="24"/>
          <w:lang w:eastAsia="zh-CN"/>
        </w:rPr>
        <w:t>甲</w:t>
      </w:r>
      <w:r>
        <w:rPr>
          <w:rFonts w:hint="eastAsia" w:ascii="宋体" w:hAnsi="宋体" w:eastAsia="宋体" w:cs="宋体"/>
          <w:color w:val="auto"/>
          <w:kern w:val="0"/>
          <w:sz w:val="24"/>
        </w:rPr>
        <w:t>方技术负责人</w:t>
      </w:r>
      <w:r>
        <w:rPr>
          <w:rFonts w:hint="eastAsia" w:ascii="宋体" w:hAnsi="宋体" w:eastAsia="宋体" w:cs="宋体"/>
          <w:color w:val="auto"/>
          <w:kern w:val="0"/>
          <w:sz w:val="24"/>
          <w:lang w:eastAsia="zh-CN"/>
        </w:rPr>
        <w:t>、乙方服务工程师</w:t>
      </w:r>
      <w:r>
        <w:rPr>
          <w:rFonts w:hint="eastAsia" w:ascii="宋体" w:hAnsi="宋体" w:eastAsia="宋体" w:cs="宋体"/>
          <w:color w:val="auto"/>
          <w:kern w:val="0"/>
          <w:sz w:val="24"/>
        </w:rPr>
        <w:t>进行签字确认</w:t>
      </w:r>
    </w:p>
    <w:p>
      <w:pPr>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.服务期壹年，根据实际维护需求按次结算。</w:t>
      </w:r>
      <w:r>
        <w:rPr>
          <w:rFonts w:hint="eastAsia" w:ascii="宋体" w:hAnsi="宋体" w:eastAsia="宋体" w:cs="宋体"/>
          <w:color w:val="auto"/>
          <w:kern w:val="0"/>
          <w:sz w:val="24"/>
          <w:szCs w:val="24"/>
          <w:lang w:val="en-US" w:eastAsia="zh-CN"/>
        </w:rPr>
        <w:t>甲方按照单次任务单进行验收，验收合格后由甲方技术负责人、乙方服务工程师进行签字确认。按照季度结算方式向甲方申请付款并</w:t>
      </w:r>
      <w:r>
        <w:rPr>
          <w:rFonts w:hint="eastAsia" w:ascii="宋体" w:hAnsi="宋体" w:eastAsia="宋体" w:cs="宋体"/>
          <w:color w:val="auto"/>
          <w:kern w:val="0"/>
          <w:sz w:val="24"/>
          <w:szCs w:val="24"/>
        </w:rPr>
        <w:t>开具增值税</w:t>
      </w:r>
      <w:r>
        <w:rPr>
          <w:rFonts w:hint="eastAsia" w:ascii="宋体" w:hAnsi="宋体" w:eastAsia="宋体" w:cs="宋体"/>
          <w:color w:val="auto"/>
          <w:kern w:val="0"/>
          <w:sz w:val="24"/>
          <w:szCs w:val="24"/>
          <w:lang w:val="en-US" w:eastAsia="zh-CN"/>
        </w:rPr>
        <w:t>专用</w:t>
      </w:r>
      <w:r>
        <w:rPr>
          <w:rFonts w:hint="eastAsia" w:ascii="宋体" w:hAnsi="宋体" w:eastAsia="宋体" w:cs="宋体"/>
          <w:color w:val="auto"/>
          <w:kern w:val="0"/>
          <w:sz w:val="24"/>
          <w:szCs w:val="24"/>
        </w:rPr>
        <w:t>发票结算，</w:t>
      </w:r>
      <w:r>
        <w:rPr>
          <w:rFonts w:hint="eastAsia" w:ascii="宋体" w:hAnsi="宋体" w:eastAsia="宋体" w:cs="宋体"/>
          <w:color w:val="auto"/>
          <w:kern w:val="0"/>
          <w:sz w:val="24"/>
          <w:szCs w:val="24"/>
          <w:lang w:val="en-US" w:eastAsia="zh-CN"/>
        </w:rPr>
        <w:t>甲方</w:t>
      </w:r>
      <w:r>
        <w:rPr>
          <w:rFonts w:hint="eastAsia" w:ascii="宋体" w:hAnsi="宋体" w:eastAsia="宋体" w:cs="宋体"/>
          <w:color w:val="auto"/>
          <w:kern w:val="0"/>
          <w:sz w:val="24"/>
          <w:szCs w:val="24"/>
        </w:rPr>
        <w:t>在收到发票20个工作日内付完成付款。</w:t>
      </w:r>
    </w:p>
    <w:p>
      <w:pPr>
        <w:widowControl/>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要求甲方在</w:t>
      </w:r>
      <w:r>
        <w:rPr>
          <w:rFonts w:hint="eastAsia" w:ascii="宋体" w:hAnsi="宋体" w:eastAsia="宋体" w:cs="宋体"/>
          <w:color w:val="auto"/>
          <w:kern w:val="0"/>
          <w:sz w:val="24"/>
          <w:szCs w:val="24"/>
        </w:rPr>
        <w:t>工作日</w:t>
      </w:r>
      <w:r>
        <w:rPr>
          <w:rFonts w:hint="eastAsia" w:ascii="宋体" w:hAnsi="宋体" w:eastAsia="宋体" w:cs="宋体"/>
          <w:color w:val="auto"/>
          <w:kern w:val="0"/>
          <w:sz w:val="24"/>
          <w:szCs w:val="24"/>
          <w:lang w:val="en-US" w:eastAsia="zh-CN"/>
        </w:rPr>
        <w:t>内确保在</w:t>
      </w:r>
      <w:r>
        <w:rPr>
          <w:rFonts w:hint="eastAsia" w:ascii="宋体" w:hAnsi="宋体" w:eastAsia="宋体" w:cs="宋体"/>
          <w:color w:val="auto"/>
          <w:kern w:val="0"/>
          <w:sz w:val="24"/>
          <w:szCs w:val="24"/>
        </w:rPr>
        <w:t>接到</w:t>
      </w:r>
      <w:r>
        <w:rPr>
          <w:rFonts w:hint="eastAsia" w:ascii="宋体" w:hAnsi="宋体" w:eastAsia="宋体" w:cs="宋体"/>
          <w:color w:val="auto"/>
          <w:kern w:val="0"/>
          <w:sz w:val="24"/>
          <w:szCs w:val="24"/>
          <w:lang w:val="en-US" w:eastAsia="zh-CN"/>
        </w:rPr>
        <w:t>甲方单次任务单后</w:t>
      </w:r>
      <w:r>
        <w:rPr>
          <w:rFonts w:hint="eastAsia" w:ascii="宋体" w:hAnsi="宋体" w:eastAsia="宋体" w:cs="宋体"/>
          <w:color w:val="auto"/>
          <w:kern w:val="0"/>
          <w:sz w:val="24"/>
          <w:szCs w:val="24"/>
        </w:rPr>
        <w:t>须3小时内响应。</w:t>
      </w:r>
    </w:p>
    <w:p>
      <w:pPr>
        <w:spacing w:line="360" w:lineRule="auto"/>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第五条 保密条款</w:t>
      </w:r>
    </w:p>
    <w:p>
      <w:pPr>
        <w:pStyle w:val="3"/>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乙方在维护过程中，对于甲方计算机系统中的数据（包括但不限于单位信息资料、文件、网络IP地址等），必须现场处理，不得将任何数据资料通过移动硬盘、U盘等带离维护现场，每发现一次乙方应向甲方支付违约金500元，如给甲方造成损失的，乙方应予以全部赔偿；因此造成数据损失或泄露的，乙方应按每次5000元的标准向甲方支付违约金，同时赔偿甲方因此造成的全部损失。</w:t>
      </w:r>
    </w:p>
    <w:p>
      <w:pPr>
        <w:tabs>
          <w:tab w:val="left" w:pos="52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（二）乙方必须对</w:t>
      </w:r>
      <w:r>
        <w:rPr>
          <w:rFonts w:hint="eastAsia" w:ascii="宋体" w:hAnsi="宋体" w:eastAsia="宋体" w:cs="宋体"/>
          <w:color w:val="auto"/>
          <w:kern w:val="0"/>
          <w:sz w:val="24"/>
          <w:szCs w:val="24"/>
        </w:rPr>
        <w:t>甲方</w:t>
      </w:r>
      <w:r>
        <w:rPr>
          <w:rFonts w:hint="eastAsia" w:ascii="宋体" w:hAnsi="宋体" w:eastAsia="宋体" w:cs="宋体"/>
          <w:color w:val="auto"/>
          <w:sz w:val="24"/>
          <w:szCs w:val="24"/>
        </w:rPr>
        <w:t>所有保密信息予以严格保密，</w:t>
      </w:r>
      <w:r>
        <w:rPr>
          <w:rFonts w:hint="eastAsia" w:ascii="宋体" w:hAnsi="宋体" w:eastAsia="宋体" w:cs="宋体"/>
          <w:color w:val="auto"/>
          <w:kern w:val="0"/>
          <w:sz w:val="24"/>
          <w:szCs w:val="24"/>
        </w:rPr>
        <w:t>不得向任何单位和个人泄露甲方的任何资料信息，</w:t>
      </w:r>
      <w:r>
        <w:rPr>
          <w:rFonts w:hint="eastAsia" w:ascii="宋体" w:hAnsi="宋体" w:eastAsia="宋体" w:cs="宋体"/>
          <w:color w:val="auto"/>
          <w:sz w:val="24"/>
          <w:szCs w:val="24"/>
        </w:rPr>
        <w:t>乙方如果将甲方的保密信息未经甲方许可披露给他人，每发现一次乙方应按每次5000元的标准向甲方支付违约金，同时赔偿甲方因此造成的全部损失。</w:t>
      </w:r>
    </w:p>
    <w:p>
      <w:pPr>
        <w:pStyle w:val="48"/>
        <w:ind w:firstLine="480" w:firstLineChars="200"/>
        <w:rPr>
          <w:rFonts w:hint="eastAsia" w:ascii="宋体" w:hAnsi="宋体" w:eastAsia="宋体" w:cs="宋体"/>
          <w:color w:val="auto"/>
          <w:lang w:eastAsia="zh-CN"/>
        </w:rPr>
      </w:pPr>
      <w:r>
        <w:rPr>
          <w:rFonts w:hint="eastAsia" w:ascii="宋体" w:hAnsi="宋体" w:eastAsia="宋体" w:cs="宋体"/>
          <w:color w:val="auto"/>
          <w:sz w:val="24"/>
          <w:szCs w:val="24"/>
          <w:lang w:eastAsia="zh-CN"/>
        </w:rPr>
        <w:t>（三）乙方应根据甲方要求签订《保密协议》（文本由甲方提供）。</w:t>
      </w:r>
    </w:p>
    <w:p>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第六条</w:t>
      </w:r>
      <w:r>
        <w:rPr>
          <w:rFonts w:hint="eastAsia" w:ascii="宋体" w:hAnsi="宋体" w:eastAsia="宋体" w:cs="宋体"/>
          <w:color w:val="auto"/>
          <w:sz w:val="24"/>
          <w:szCs w:val="24"/>
          <w:lang w:val="en-US" w:eastAsia="zh-CN"/>
        </w:rPr>
        <w:t xml:space="preserve"> 双方联系人</w:t>
      </w:r>
    </w:p>
    <w:p>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甲方联系人（技术负责人）：       电话：       ，负责（根据实际情况填写）   </w:t>
      </w:r>
    </w:p>
    <w:p>
      <w:pPr>
        <w:pStyle w:val="1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乙方联系人（服务工程师）：       电话：       ，负责（根据实际情况填写）   </w:t>
      </w:r>
    </w:p>
    <w:p>
      <w:pPr>
        <w:tabs>
          <w:tab w:val="left" w:pos="52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一方变更联系人的，应当在变更后3日内以书面形式通知另一方。未按约定时间通知并影响本合同履行或造成损失的，其应承担相应的赔偿责任。</w:t>
      </w:r>
    </w:p>
    <w:p>
      <w:pPr>
        <w:widowControl/>
        <w:adjustRightInd w:val="0"/>
        <w:snapToGrid w:val="0"/>
        <w:spacing w:line="360" w:lineRule="auto"/>
        <w:ind w:firstLine="480" w:firstLineChars="200"/>
        <w:jc w:val="left"/>
        <w:outlineLvl w:val="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第</w:t>
      </w:r>
      <w:r>
        <w:rPr>
          <w:rFonts w:hint="eastAsia" w:ascii="宋体" w:hAnsi="宋体" w:eastAsia="宋体" w:cs="宋体"/>
          <w:bCs/>
          <w:color w:val="auto"/>
          <w:kern w:val="0"/>
          <w:sz w:val="24"/>
          <w:szCs w:val="24"/>
          <w:lang w:eastAsia="zh-CN"/>
        </w:rPr>
        <w:t>七</w:t>
      </w:r>
      <w:r>
        <w:rPr>
          <w:rFonts w:hint="eastAsia" w:ascii="宋体" w:hAnsi="宋体" w:eastAsia="宋体" w:cs="宋体"/>
          <w:bCs/>
          <w:color w:val="auto"/>
          <w:kern w:val="0"/>
          <w:sz w:val="24"/>
          <w:szCs w:val="24"/>
        </w:rPr>
        <w:t xml:space="preserve">条 合同金额及付费方式 </w:t>
      </w:r>
    </w:p>
    <w:p>
      <w:pPr>
        <w:widowControl/>
        <w:adjustRightInd w:val="0"/>
        <w:snapToGrid w:val="0"/>
        <w:spacing w:line="360" w:lineRule="auto"/>
        <w:ind w:left="1"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（一）</w:t>
      </w:r>
      <w:r>
        <w:rPr>
          <w:rFonts w:hint="eastAsia" w:ascii="宋体" w:hAnsi="宋体" w:eastAsia="宋体" w:cs="宋体"/>
          <w:color w:val="auto"/>
          <w:kern w:val="0"/>
          <w:sz w:val="24"/>
          <w:szCs w:val="24"/>
        </w:rPr>
        <w:t xml:space="preserve">本合同采用固定单价计费，单次服务费为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 xml:space="preserve"> 元。因设备硬件损坏向乙方采购配件的，根据配件价格按实结算。</w:t>
      </w:r>
    </w:p>
    <w:p>
      <w:pPr>
        <w:widowControl/>
        <w:adjustRightInd w:val="0"/>
        <w:snapToGrid w:val="0"/>
        <w:spacing w:line="360" w:lineRule="auto"/>
        <w:ind w:left="1"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（二）</w:t>
      </w:r>
      <w:r>
        <w:rPr>
          <w:rFonts w:hint="eastAsia" w:ascii="宋体" w:hAnsi="宋体" w:eastAsia="宋体" w:cs="宋体"/>
          <w:color w:val="auto"/>
          <w:kern w:val="0"/>
          <w:sz w:val="24"/>
          <w:szCs w:val="24"/>
        </w:rPr>
        <w:t>合同期限内，壹年费用为最高限价50000元（大写：人民币伍万元整），维护费用达到5万元后甲方不再派发任务。</w:t>
      </w:r>
    </w:p>
    <w:p>
      <w:pPr>
        <w:widowControl/>
        <w:adjustRightInd w:val="0"/>
        <w:snapToGrid w:val="0"/>
        <w:spacing w:line="360" w:lineRule="auto"/>
        <w:ind w:left="1" w:firstLine="480" w:firstLineChars="200"/>
        <w:jc w:val="left"/>
        <w:rPr>
          <w:rFonts w:hint="eastAsia" w:ascii="宋体" w:hAnsi="宋体" w:eastAsia="宋体" w:cs="宋体"/>
          <w:color w:val="auto"/>
          <w:sz w:val="24"/>
        </w:rPr>
      </w:pPr>
      <w:r>
        <w:rPr>
          <w:rFonts w:hint="eastAsia" w:ascii="宋体" w:hAnsi="宋体" w:eastAsia="宋体" w:cs="宋体"/>
          <w:color w:val="auto"/>
          <w:sz w:val="24"/>
          <w:szCs w:val="24"/>
        </w:rPr>
        <w:t>（三）</w:t>
      </w:r>
      <w:r>
        <w:rPr>
          <w:rFonts w:hint="eastAsia" w:ascii="宋体" w:hAnsi="宋体" w:eastAsia="宋体" w:cs="宋体"/>
          <w:color w:val="auto"/>
          <w:kern w:val="0"/>
          <w:sz w:val="24"/>
          <w:szCs w:val="24"/>
        </w:rPr>
        <w:t>付费方式：本合同采用季度结算的付款周期，乙方提交双方</w:t>
      </w:r>
      <w:r>
        <w:rPr>
          <w:rFonts w:hint="eastAsia" w:ascii="宋体" w:hAnsi="宋体" w:eastAsia="宋体" w:cs="宋体"/>
          <w:color w:val="auto"/>
          <w:kern w:val="0"/>
          <w:sz w:val="24"/>
          <w:szCs w:val="24"/>
          <w:lang w:eastAsia="zh-CN"/>
        </w:rPr>
        <w:t>联系人</w:t>
      </w:r>
      <w:r>
        <w:rPr>
          <w:rFonts w:hint="eastAsia" w:ascii="宋体" w:hAnsi="宋体" w:eastAsia="宋体" w:cs="宋体"/>
          <w:color w:val="auto"/>
          <w:kern w:val="0"/>
          <w:sz w:val="24"/>
          <w:szCs w:val="24"/>
        </w:rPr>
        <w:t>签字确认的任务工作单及季度任务清单，经甲方确认后开具增值税专用发票，甲方在收到增值税专用发票后20个工作日内完成付款。。</w:t>
      </w:r>
    </w:p>
    <w:p>
      <w:pPr>
        <w:pStyle w:val="12"/>
        <w:spacing w:line="360" w:lineRule="auto"/>
        <w:ind w:firstLine="240" w:firstLineChars="100"/>
        <w:rPr>
          <w:rFonts w:hint="eastAsia" w:ascii="宋体" w:hAnsi="宋体" w:eastAsia="宋体" w:cs="宋体"/>
          <w:color w:val="auto"/>
          <w:kern w:val="0"/>
          <w:sz w:val="24"/>
          <w:szCs w:val="24"/>
        </w:rPr>
      </w:pPr>
      <w:r>
        <w:rPr>
          <w:rFonts w:hint="eastAsia" w:ascii="宋体" w:hAnsi="宋体" w:eastAsia="宋体" w:cs="宋体"/>
          <w:color w:val="auto"/>
          <w:sz w:val="24"/>
          <w:szCs w:val="24"/>
        </w:rPr>
        <w:t>（四）乙方指定的收款账户如下并保证其真实有效</w:t>
      </w:r>
      <w:r>
        <w:rPr>
          <w:rFonts w:hint="eastAsia" w:ascii="宋体" w:hAnsi="宋体" w:eastAsia="宋体" w:cs="宋体"/>
          <w:color w:val="auto"/>
          <w:kern w:val="0"/>
          <w:sz w:val="24"/>
          <w:szCs w:val="24"/>
        </w:rPr>
        <w:t>：</w:t>
      </w:r>
    </w:p>
    <w:p>
      <w:pPr>
        <w:pStyle w:val="12"/>
        <w:spacing w:line="360" w:lineRule="auto"/>
        <w:ind w:firstLine="480" w:firstLineChars="200"/>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乙方指定收款账户名称：</w:t>
      </w:r>
    </w:p>
    <w:p>
      <w:pPr>
        <w:pStyle w:val="12"/>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乙方指定收款账户的开户行名称：</w:t>
      </w:r>
    </w:p>
    <w:p>
      <w:pPr>
        <w:pStyle w:val="12"/>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乙方指定收款账户的开户行帐号：</w:t>
      </w:r>
    </w:p>
    <w:p>
      <w:pPr>
        <w:spacing w:line="360" w:lineRule="auto"/>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第七条违约赔偿</w:t>
      </w:r>
    </w:p>
    <w:p>
      <w:pPr>
        <w:pStyle w:val="5"/>
        <w:tabs>
          <w:tab w:val="left" w:pos="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（一）如乙方提供的热线电话12小时内无人接听，或是24小时内未能处理一般软硬件故障，每次乙方应支付合同总额的5%为违约金，若以上情况出现3次及以上，甲方有权解除合同。</w:t>
      </w:r>
    </w:p>
    <w:p>
      <w:pPr>
        <w:pStyle w:val="5"/>
        <w:tabs>
          <w:tab w:val="left" w:pos="0"/>
        </w:tabs>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热线电话：</w:t>
      </w:r>
      <w:r>
        <w:rPr>
          <w:rFonts w:hint="eastAsia" w:ascii="宋体" w:hAnsi="宋体" w:eastAsia="宋体" w:cs="宋体"/>
          <w:color w:val="auto"/>
          <w:sz w:val="24"/>
          <w:szCs w:val="24"/>
          <w:u w:val="single"/>
          <w:lang w:val="en-US" w:eastAsia="zh-CN"/>
        </w:rPr>
        <w:t xml:space="preserve">                            </w:t>
      </w:r>
    </w:p>
    <w:p>
      <w:pPr>
        <w:pStyle w:val="5"/>
        <w:tabs>
          <w:tab w:val="left" w:pos="0"/>
        </w:tabs>
        <w:spacing w:line="360" w:lineRule="auto"/>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rPr>
        <w:t>（二）因乙方在进行风险操作前应征得甲方技术负责人同意，因技术问题或操作不当造成事故，乙方应</w:t>
      </w:r>
      <w:r>
        <w:rPr>
          <w:rFonts w:hint="eastAsia" w:ascii="宋体" w:hAnsi="宋体" w:eastAsia="宋体" w:cs="宋体"/>
          <w:color w:val="auto"/>
          <w:sz w:val="24"/>
          <w:szCs w:val="24"/>
          <w:lang w:val="en-US" w:eastAsia="zh-CN"/>
        </w:rPr>
        <w:t>按损坏设备进行还原，涉及数据丢失的需按最大限度恢复，</w:t>
      </w:r>
      <w:r>
        <w:rPr>
          <w:rStyle w:val="18"/>
          <w:rFonts w:hint="eastAsia" w:ascii="宋体" w:hAnsi="宋体" w:eastAsia="宋体" w:cs="宋体"/>
          <w:color w:val="auto"/>
          <w:sz w:val="24"/>
          <w:szCs w:val="24"/>
          <w:lang w:val="en-US" w:eastAsia="zh-CN"/>
        </w:rPr>
        <w:t>影响企业日常生产运行的，按合同总额的15%向甲方支付违约金。因此给甲方造成损失的，应</w:t>
      </w:r>
      <w:r>
        <w:rPr>
          <w:rFonts w:hint="eastAsia" w:ascii="宋体" w:hAnsi="宋体" w:eastAsia="宋体" w:cs="宋体"/>
          <w:color w:val="auto"/>
          <w:sz w:val="24"/>
          <w:szCs w:val="24"/>
        </w:rPr>
        <w:t>赔偿甲方</w:t>
      </w:r>
      <w:r>
        <w:rPr>
          <w:rFonts w:hint="eastAsia" w:ascii="宋体" w:hAnsi="宋体" w:eastAsia="宋体" w:cs="宋体"/>
          <w:color w:val="auto"/>
          <w:sz w:val="24"/>
          <w:szCs w:val="24"/>
          <w:lang w:eastAsia="zh-CN"/>
        </w:rPr>
        <w:t>全部</w:t>
      </w:r>
      <w:r>
        <w:rPr>
          <w:rFonts w:hint="eastAsia" w:ascii="宋体" w:hAnsi="宋体" w:eastAsia="宋体" w:cs="宋体"/>
          <w:color w:val="auto"/>
          <w:sz w:val="24"/>
          <w:szCs w:val="24"/>
        </w:rPr>
        <w:t>损失</w:t>
      </w:r>
      <w:r>
        <w:rPr>
          <w:rFonts w:hint="eastAsia" w:ascii="宋体" w:hAnsi="宋体" w:eastAsia="宋体" w:cs="宋体"/>
          <w:color w:val="auto"/>
          <w:sz w:val="24"/>
          <w:szCs w:val="24"/>
          <w:lang w:eastAsia="zh-CN"/>
        </w:rPr>
        <w:t>。</w:t>
      </w:r>
    </w:p>
    <w:p>
      <w:pPr>
        <w:pStyle w:val="5"/>
        <w:tabs>
          <w:tab w:val="left" w:pos="0"/>
        </w:tabs>
        <w:spacing w:line="360" w:lineRule="auto"/>
        <w:ind w:left="42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乙方如未如期履行本合同规定的各项服务项目，甲方有权选择解除合同或者继续履行；选择继续履行合同时，乙方应向甲方支付合同总额的5%为违约金；选择解除合同时，乙方应向甲方支付合同总额15%的违约金。</w:t>
      </w:r>
    </w:p>
    <w:p>
      <w:pPr>
        <w:widowControl/>
        <w:adjustRightInd w:val="0"/>
        <w:snapToGrid w:val="0"/>
        <w:spacing w:line="360" w:lineRule="auto"/>
        <w:ind w:firstLine="480" w:firstLineChars="200"/>
        <w:jc w:val="left"/>
        <w:outlineLvl w:val="0"/>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 xml:space="preserve">第八条 合同生效与解除 </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本合同自</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日至</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日止，到期自行解除。如果甲方续签合同，则另签合同。如乙方工程师与甲方发生剧烈冲突，经双方协商难以调解的，甲方有权要求更换工程师或解除合同，</w:t>
      </w:r>
      <w:r>
        <w:rPr>
          <w:rFonts w:hint="eastAsia" w:ascii="宋体" w:hAnsi="宋体" w:eastAsia="宋体" w:cs="宋体"/>
          <w:color w:val="auto"/>
          <w:kern w:val="0"/>
          <w:sz w:val="24"/>
          <w:szCs w:val="24"/>
          <w:lang w:val="en-US" w:eastAsia="zh-CN"/>
        </w:rPr>
        <w:t>甲方</w:t>
      </w:r>
      <w:r>
        <w:rPr>
          <w:rFonts w:hint="eastAsia" w:ascii="宋体" w:hAnsi="宋体" w:eastAsia="宋体" w:cs="宋体"/>
          <w:color w:val="auto"/>
          <w:sz w:val="24"/>
          <w:szCs w:val="24"/>
        </w:rPr>
        <w:t>选择继续履行合同时，乙方应向甲方支付合同总额的5%为违约金；选择解除合同时，乙方应向甲方支付合同总额15%的违约金</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rPr>
        <w:t xml:space="preserve"> </w:t>
      </w:r>
    </w:p>
    <w:p>
      <w:pPr>
        <w:widowControl/>
        <w:adjustRightInd w:val="0"/>
        <w:snapToGrid w:val="0"/>
        <w:spacing w:line="360" w:lineRule="auto"/>
        <w:ind w:firstLine="480" w:firstLineChars="200"/>
        <w:jc w:val="left"/>
        <w:outlineLvl w:val="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第九条 通知条款：</w:t>
      </w:r>
    </w:p>
    <w:p>
      <w:pPr>
        <w:pStyle w:val="12"/>
        <w:spacing w:line="360" w:lineRule="auto"/>
        <w:ind w:left="42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任何一方在发送本合同项下的或与本合同有关的通知、信函、报告等材料时，应采用书面形式并发往下列地址，在对方接到乙方发出的变更其收件人/地址的通知之前，该方收件人/地址仍以先前为准。双方同意以下列收件人/地址作为双方司法/仲裁文书的送达地址，如有变化，规则同前。</w:t>
      </w:r>
    </w:p>
    <w:p>
      <w:pPr>
        <w:pStyle w:val="12"/>
        <w:numPr>
          <w:ilvl w:val="0"/>
          <w:numId w:val="5"/>
        </w:numPr>
        <w:spacing w:line="360" w:lineRule="auto"/>
        <w:ind w:left="42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发给甲方的地址：</w:t>
      </w:r>
    </w:p>
    <w:p>
      <w:pPr>
        <w:pStyle w:val="12"/>
        <w:numPr>
          <w:ilvl w:val="255"/>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收件人：林工</w:t>
      </w:r>
    </w:p>
    <w:p>
      <w:pPr>
        <w:pStyle w:val="12"/>
        <w:numPr>
          <w:ilvl w:val="255"/>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收件地址：福州市长乐区文武砂镇漳江路公交首末站4层综合管理部</w:t>
      </w:r>
    </w:p>
    <w:p>
      <w:pPr>
        <w:pStyle w:val="12"/>
        <w:numPr>
          <w:ilvl w:val="255"/>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联系电话：0591-87529791</w:t>
      </w:r>
    </w:p>
    <w:p>
      <w:pPr>
        <w:pStyle w:val="12"/>
        <w:numPr>
          <w:ilvl w:val="0"/>
          <w:numId w:val="5"/>
        </w:numPr>
        <w:spacing w:line="360" w:lineRule="auto"/>
        <w:ind w:left="42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发给乙方的通知地址</w:t>
      </w:r>
    </w:p>
    <w:p>
      <w:pPr>
        <w:pStyle w:val="12"/>
        <w:numPr>
          <w:ilvl w:val="255"/>
          <w:numId w:val="0"/>
        </w:num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收件人：</w:t>
      </w:r>
      <w:r>
        <w:rPr>
          <w:rFonts w:hint="eastAsia" w:ascii="宋体" w:hAnsi="宋体" w:eastAsia="宋体" w:cs="宋体"/>
          <w:color w:val="auto"/>
          <w:sz w:val="24"/>
          <w:szCs w:val="24"/>
          <w:u w:val="single"/>
          <w:lang w:val="en-US" w:eastAsia="zh-CN"/>
        </w:rPr>
        <w:t xml:space="preserve">                               </w:t>
      </w:r>
    </w:p>
    <w:p>
      <w:pPr>
        <w:pStyle w:val="12"/>
        <w:numPr>
          <w:ilvl w:val="255"/>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收件地址：</w:t>
      </w:r>
      <w:r>
        <w:rPr>
          <w:rFonts w:hint="eastAsia" w:ascii="宋体" w:hAnsi="宋体" w:eastAsia="宋体" w:cs="宋体"/>
          <w:color w:val="auto"/>
          <w:sz w:val="24"/>
          <w:szCs w:val="24"/>
          <w:u w:val="single"/>
          <w:lang w:val="en-US" w:eastAsia="zh-CN"/>
        </w:rPr>
        <w:t xml:space="preserve">                               </w:t>
      </w:r>
    </w:p>
    <w:p>
      <w:pPr>
        <w:pStyle w:val="12"/>
        <w:numPr>
          <w:ilvl w:val="255"/>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p>
    <w:p>
      <w:pPr>
        <w:pStyle w:val="12"/>
        <w:numPr>
          <w:ilvl w:val="255"/>
          <w:numId w:val="0"/>
        </w:num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本合同项下的或与本合同有关的通知、信函、报告等材料，本合同双方确认采用特快专递寄出，在按照上述地址送交邮政局或快递公司后2个工作日即视为已经送达。</w:t>
      </w:r>
    </w:p>
    <w:p>
      <w:pPr>
        <w:widowControl/>
        <w:adjustRightInd w:val="0"/>
        <w:snapToGrid w:val="0"/>
        <w:spacing w:line="360" w:lineRule="auto"/>
        <w:ind w:firstLine="480" w:firstLineChars="200"/>
        <w:jc w:val="left"/>
        <w:outlineLvl w:val="0"/>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 xml:space="preserve">第十条 </w:t>
      </w:r>
      <w:r>
        <w:rPr>
          <w:rFonts w:hint="eastAsia" w:ascii="宋体" w:hAnsi="宋体" w:eastAsia="宋体" w:cs="宋体"/>
          <w:bCs/>
          <w:color w:val="auto"/>
          <w:kern w:val="0"/>
          <w:sz w:val="24"/>
          <w:szCs w:val="24"/>
          <w:lang w:eastAsia="zh-CN"/>
        </w:rPr>
        <w:t>其他</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bCs w:val="0"/>
          <w:color w:val="auto"/>
          <w:kern w:val="2"/>
          <w:sz w:val="24"/>
          <w:szCs w:val="24"/>
          <w:lang w:val="en-US" w:eastAsia="zh-CN"/>
        </w:rPr>
        <w:t>(一）</w:t>
      </w:r>
      <w:r>
        <w:rPr>
          <w:rFonts w:hint="eastAsia" w:ascii="宋体" w:hAnsi="宋体" w:eastAsia="宋体" w:cs="宋体"/>
          <w:color w:val="auto"/>
          <w:sz w:val="24"/>
        </w:rPr>
        <w:t>合同文件构成</w:t>
      </w:r>
    </w:p>
    <w:p>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b w:val="0"/>
          <w:bCs w:val="0"/>
          <w:color w:val="auto"/>
          <w:sz w:val="24"/>
          <w:szCs w:val="24"/>
        </w:rPr>
        <w:t>网络安全及电脑设备维护服务合同</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2、报价文件；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3、询价函；</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4、其他合同文件。</w:t>
      </w:r>
    </w:p>
    <w:p>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上述文件优先顺序由上至下。</w:t>
      </w:r>
    </w:p>
    <w:p>
      <w:pPr>
        <w:widowControl/>
        <w:adjustRightInd/>
        <w:snapToGrid/>
        <w:spacing w:line="360" w:lineRule="auto"/>
        <w:ind w:firstLine="480" w:firstLineChars="200"/>
        <w:jc w:val="left"/>
        <w:outlineLvl w:val="9"/>
        <w:rPr>
          <w:rFonts w:hint="eastAsia" w:ascii="宋体" w:hAnsi="宋体" w:eastAsia="宋体" w:cs="宋体"/>
          <w:bCs w:val="0"/>
          <w:color w:val="auto"/>
          <w:kern w:val="2"/>
          <w:sz w:val="24"/>
          <w:szCs w:val="24"/>
          <w:lang w:val="en-US" w:eastAsia="zh-CN"/>
        </w:rPr>
      </w:pPr>
      <w:r>
        <w:rPr>
          <w:rFonts w:hint="eastAsia" w:ascii="宋体" w:hAnsi="宋体" w:eastAsia="宋体" w:cs="宋体"/>
          <w:color w:val="auto"/>
          <w:sz w:val="24"/>
        </w:rPr>
        <w:t>乙方须承诺保证按本条款所列文件进行供货，并承担上述文件规定的全部责任和义务。</w:t>
      </w:r>
    </w:p>
    <w:p>
      <w:pPr>
        <w:widowControl/>
        <w:adjustRightInd w:val="0"/>
        <w:snapToGrid w:val="0"/>
        <w:spacing w:line="360" w:lineRule="auto"/>
        <w:ind w:firstLine="480" w:firstLineChars="200"/>
        <w:jc w:val="left"/>
        <w:outlineLvl w:val="0"/>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lang w:val="en-US" w:eastAsia="zh-CN"/>
        </w:rPr>
        <w:t>（二）</w:t>
      </w:r>
      <w:r>
        <w:rPr>
          <w:rFonts w:hint="eastAsia" w:ascii="宋体" w:hAnsi="宋体" w:eastAsia="宋体" w:cs="宋体"/>
          <w:bCs/>
          <w:color w:val="auto"/>
          <w:kern w:val="0"/>
          <w:sz w:val="24"/>
          <w:szCs w:val="24"/>
        </w:rPr>
        <w:t>此合同未尽事宜，由双方协商解决。</w:t>
      </w:r>
    </w:p>
    <w:p>
      <w:pPr>
        <w:widowControl/>
        <w:adjustRightInd w:val="0"/>
        <w:snapToGrid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（三）</w:t>
      </w:r>
      <w:r>
        <w:rPr>
          <w:rFonts w:hint="eastAsia" w:ascii="宋体" w:hAnsi="宋体" w:eastAsia="宋体" w:cs="宋体"/>
          <w:color w:val="auto"/>
          <w:kern w:val="0"/>
          <w:sz w:val="24"/>
          <w:szCs w:val="24"/>
        </w:rPr>
        <w:t>此合同一式陆份，双方各执叁份。合同自双方签字盖章之日起生效。</w:t>
      </w:r>
    </w:p>
    <w:p>
      <w:pPr>
        <w:widowControl/>
        <w:adjustRightInd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（以下无正文）</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甲方</w:t>
      </w:r>
      <w:r>
        <w:rPr>
          <w:rFonts w:hint="eastAsia" w:ascii="宋体" w:hAnsi="宋体" w:eastAsia="宋体" w:cs="宋体"/>
          <w:color w:val="auto"/>
          <w:sz w:val="24"/>
          <w:u w:val="single"/>
        </w:rPr>
        <w:t>：福州市滨海水务发展有限公司</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rPr>
        <w:t>乙方：</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w:t>
      </w:r>
    </w:p>
    <w:p>
      <w:pPr>
        <w:widowControl/>
        <w:adjustRightInd w:val="0"/>
        <w:snapToGrid w:val="0"/>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______ 年 ___ 月 ___ 日 　　　　　　          ______ 年 __ 月 ___ 日</w:t>
      </w:r>
    </w:p>
    <w:p>
      <w:pPr>
        <w:widowControl/>
        <w:adjustRightInd/>
        <w:snapToGrid/>
        <w:spacing w:line="360" w:lineRule="auto"/>
        <w:ind w:firstLine="0" w:firstLineChars="0"/>
        <w:jc w:val="left"/>
        <w:rPr>
          <w:rFonts w:ascii="仿宋" w:hAnsi="仿宋" w:eastAsia="仿宋" w:cs="仿宋"/>
          <w:color w:val="auto"/>
          <w:kern w:val="0"/>
          <w:sz w:val="24"/>
        </w:rPr>
      </w:pPr>
      <w:r>
        <w:rPr>
          <w:rFonts w:ascii="仿宋" w:hAnsi="仿宋" w:eastAsia="仿宋" w:cs="仿宋"/>
          <w:color w:val="auto"/>
          <w:kern w:val="0"/>
          <w:sz w:val="24"/>
        </w:rPr>
        <w:br w:type="page"/>
      </w:r>
    </w:p>
    <w:p>
      <w:pPr>
        <w:pStyle w:val="12"/>
        <w:spacing w:line="360" w:lineRule="auto"/>
        <w:ind w:left="0" w:leftChars="0" w:firstLine="0"/>
        <w:rPr>
          <w:rFonts w:hint="eastAsia"/>
          <w:color w:val="auto"/>
          <w:lang w:val="en-US" w:eastAsia="zh-CN"/>
        </w:rPr>
      </w:pPr>
      <w:r>
        <w:rPr>
          <w:rFonts w:hint="eastAsia"/>
          <w:color w:val="auto"/>
          <w:lang w:val="en-US" w:eastAsia="zh-CN"/>
        </w:rPr>
        <w:t>附件1：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 w:val="28"/>
          <w:szCs w:val="36"/>
          <w:u w:val="none"/>
          <w:lang w:val="en-US" w:eastAsia="zh-CN"/>
        </w:rPr>
      </w:pPr>
      <w:r>
        <w:rPr>
          <w:rFonts w:hint="eastAsia"/>
          <w:color w:val="auto"/>
          <w:lang w:val="en-US" w:eastAsia="zh-CN"/>
        </w:rPr>
        <w:pict>
          <v:shape id="_x0000_s1026" o:spid="_x0000_s1026" o:spt="75" type="#_x0000_t75" style="position:absolute;left:0pt;margin-left:21pt;margin-top:4.85pt;height:395.85pt;width:414.55pt;z-index:251659264;mso-width-relative:page;mso-height-relative:page;" o:ole="t" filled="f" o:preferrelative="t" stroked="f" coordsize="21600,21600">
            <v:path/>
            <v:fill on="f" focussize="0,0"/>
            <v:stroke on="f"/>
            <v:imagedata r:id="rId6" o:title=""/>
            <o:lock v:ext="edit" aspectratio="f"/>
          </v:shape>
          <o:OLEObject Type="Embed" ProgID="Excel.Sheet.12" ShapeID="_x0000_s1026" DrawAspect="Content" ObjectID="_1468075725" r:id="rId5">
            <o:LockedField>false</o:LockedField>
          </o:OLEObject>
        </w:pict>
      </w:r>
    </w:p>
    <w:p>
      <w:pPr>
        <w:pStyle w:val="12"/>
        <w:spacing w:line="360" w:lineRule="auto"/>
        <w:rPr>
          <w:rFonts w:hint="eastAsia"/>
          <w:color w:val="auto"/>
          <w:sz w:val="28"/>
          <w:szCs w:val="36"/>
          <w:u w:val="none"/>
          <w:lang w:val="en-US" w:eastAsia="zh-CN"/>
        </w:rPr>
      </w:pPr>
    </w:p>
    <w:p>
      <w:pPr>
        <w:pStyle w:val="12"/>
        <w:spacing w:line="360" w:lineRule="auto"/>
        <w:rPr>
          <w:rFonts w:hint="default"/>
          <w:color w:val="auto"/>
          <w:sz w:val="28"/>
          <w:szCs w:val="36"/>
          <w:u w:val="none"/>
          <w:lang w:val="en-US" w:eastAsia="zh-CN"/>
        </w:rPr>
      </w:pPr>
    </w:p>
    <w:p>
      <w:pPr>
        <w:rPr>
          <w:rFonts w:hint="eastAsia"/>
          <w:color w:val="auto"/>
          <w:lang w:val="en-US" w:eastAsia="zh-CN"/>
        </w:rPr>
      </w:pPr>
      <w:r>
        <w:rPr>
          <w:rFonts w:hint="eastAsia"/>
          <w:color w:val="auto"/>
          <w:lang w:val="en-US" w:eastAsia="zh-CN"/>
        </w:rPr>
        <w:br w:type="page"/>
      </w:r>
    </w:p>
    <w:p>
      <w:pPr>
        <w:pStyle w:val="12"/>
        <w:spacing w:line="360" w:lineRule="auto"/>
        <w:ind w:left="0" w:leftChars="0" w:firstLine="0"/>
        <w:rPr>
          <w:rFonts w:hint="eastAsia"/>
          <w:color w:val="auto"/>
          <w:lang w:val="en-US" w:eastAsia="zh-CN"/>
        </w:rPr>
      </w:pPr>
      <w:r>
        <w:rPr>
          <w:rFonts w:hint="eastAsia"/>
          <w:color w:val="auto"/>
          <w:lang w:val="en-US" w:eastAsia="zh-CN"/>
        </w:rPr>
        <w:t>附件2：</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2204"/>
        <w:gridCol w:w="1717"/>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pStyle w:val="12"/>
              <w:spacing w:line="360" w:lineRule="auto"/>
              <w:ind w:left="0" w:leftChars="0" w:firstLine="0"/>
              <w:jc w:val="center"/>
              <w:rPr>
                <w:rFonts w:hint="eastAsia"/>
                <w:color w:val="auto"/>
                <w:vertAlign w:val="baseline"/>
                <w:lang w:val="en-US" w:eastAsia="zh-CN"/>
              </w:rPr>
            </w:pPr>
            <w:r>
              <w:rPr>
                <w:rFonts w:hint="eastAsia"/>
                <w:color w:val="auto"/>
                <w:vertAlign w:val="baseline"/>
                <w:lang w:val="en-US" w:eastAsia="zh-CN"/>
              </w:rPr>
              <w:t>信息设备维护季度清单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pStyle w:val="12"/>
              <w:spacing w:line="360" w:lineRule="auto"/>
              <w:ind w:left="0" w:leftChars="0" w:firstLine="0"/>
              <w:jc w:val="center"/>
              <w:rPr>
                <w:rFonts w:hint="default"/>
                <w:color w:val="auto"/>
                <w:vertAlign w:val="baseline"/>
                <w:lang w:val="en-US" w:eastAsia="zh-CN"/>
              </w:rPr>
            </w:pPr>
            <w:r>
              <w:rPr>
                <w:rFonts w:hint="eastAsia"/>
                <w:color w:val="auto"/>
                <w:vertAlign w:val="baseline"/>
                <w:lang w:val="en-US" w:eastAsia="zh-CN"/>
              </w:rPr>
              <w:t>序号</w:t>
            </w:r>
          </w:p>
        </w:tc>
        <w:tc>
          <w:tcPr>
            <w:tcW w:w="1065" w:type="dxa"/>
          </w:tcPr>
          <w:p>
            <w:pPr>
              <w:pStyle w:val="12"/>
              <w:spacing w:line="360" w:lineRule="auto"/>
              <w:ind w:left="0" w:leftChars="0" w:firstLine="0"/>
              <w:jc w:val="center"/>
              <w:rPr>
                <w:rFonts w:hint="default"/>
                <w:color w:val="auto"/>
                <w:vertAlign w:val="baseline"/>
                <w:lang w:val="en-US" w:eastAsia="zh-CN"/>
              </w:rPr>
            </w:pPr>
            <w:r>
              <w:rPr>
                <w:rFonts w:hint="eastAsia"/>
                <w:color w:val="auto"/>
                <w:vertAlign w:val="baseline"/>
                <w:lang w:val="en-US" w:eastAsia="zh-CN"/>
              </w:rPr>
              <w:t>服务内容</w:t>
            </w:r>
          </w:p>
        </w:tc>
        <w:tc>
          <w:tcPr>
            <w:tcW w:w="2204" w:type="dxa"/>
          </w:tcPr>
          <w:p>
            <w:pPr>
              <w:pStyle w:val="12"/>
              <w:spacing w:line="360" w:lineRule="auto"/>
              <w:ind w:left="0" w:leftChars="0" w:firstLine="0"/>
              <w:jc w:val="center"/>
              <w:rPr>
                <w:rFonts w:hint="default"/>
                <w:color w:val="auto"/>
                <w:vertAlign w:val="baseline"/>
                <w:lang w:val="en-US" w:eastAsia="zh-CN"/>
              </w:rPr>
            </w:pPr>
            <w:r>
              <w:rPr>
                <w:rFonts w:hint="eastAsia"/>
                <w:color w:val="auto"/>
                <w:vertAlign w:val="baseline"/>
                <w:lang w:val="en-US" w:eastAsia="zh-CN"/>
              </w:rPr>
              <w:t>任务下达时间</w:t>
            </w:r>
          </w:p>
        </w:tc>
        <w:tc>
          <w:tcPr>
            <w:tcW w:w="1717" w:type="dxa"/>
          </w:tcPr>
          <w:p>
            <w:pPr>
              <w:pStyle w:val="12"/>
              <w:spacing w:line="360" w:lineRule="auto"/>
              <w:ind w:left="0" w:leftChars="0" w:firstLine="0"/>
              <w:jc w:val="center"/>
              <w:rPr>
                <w:rFonts w:hint="default"/>
                <w:color w:val="auto"/>
                <w:vertAlign w:val="baseline"/>
                <w:lang w:val="en-US" w:eastAsia="zh-CN"/>
              </w:rPr>
            </w:pPr>
            <w:r>
              <w:rPr>
                <w:rFonts w:hint="eastAsia"/>
                <w:color w:val="auto"/>
                <w:vertAlign w:val="baseline"/>
                <w:lang w:val="en-US" w:eastAsia="zh-CN"/>
              </w:rPr>
              <w:t>任务响应时间</w:t>
            </w:r>
          </w:p>
        </w:tc>
        <w:tc>
          <w:tcPr>
            <w:tcW w:w="2471" w:type="dxa"/>
          </w:tcPr>
          <w:p>
            <w:pPr>
              <w:pStyle w:val="12"/>
              <w:spacing w:line="360" w:lineRule="auto"/>
              <w:ind w:left="0" w:leftChars="0" w:firstLine="0"/>
              <w:jc w:val="center"/>
              <w:rPr>
                <w:rFonts w:hint="default"/>
                <w:color w:val="auto"/>
                <w:vertAlign w:val="baseline"/>
                <w:lang w:val="en-US" w:eastAsia="zh-CN"/>
              </w:rPr>
            </w:pPr>
            <w:r>
              <w:rPr>
                <w:rFonts w:hint="eastAsia"/>
                <w:color w:val="auto"/>
                <w:vertAlign w:val="baseline"/>
                <w:lang w:val="en-US"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pStyle w:val="12"/>
              <w:spacing w:line="360" w:lineRule="auto"/>
              <w:rPr>
                <w:rFonts w:hint="eastAsia"/>
                <w:color w:val="auto"/>
                <w:vertAlign w:val="baseline"/>
                <w:lang w:val="en-US" w:eastAsia="zh-CN"/>
              </w:rPr>
            </w:pPr>
          </w:p>
        </w:tc>
        <w:tc>
          <w:tcPr>
            <w:tcW w:w="1065" w:type="dxa"/>
          </w:tcPr>
          <w:p>
            <w:pPr>
              <w:pStyle w:val="12"/>
              <w:spacing w:line="360" w:lineRule="auto"/>
              <w:rPr>
                <w:rFonts w:hint="eastAsia"/>
                <w:color w:val="auto"/>
                <w:vertAlign w:val="baseline"/>
                <w:lang w:val="en-US" w:eastAsia="zh-CN"/>
              </w:rPr>
            </w:pPr>
          </w:p>
        </w:tc>
        <w:tc>
          <w:tcPr>
            <w:tcW w:w="2204" w:type="dxa"/>
          </w:tcPr>
          <w:p>
            <w:pPr>
              <w:pStyle w:val="12"/>
              <w:spacing w:line="360" w:lineRule="auto"/>
              <w:rPr>
                <w:rFonts w:hint="eastAsia"/>
                <w:color w:val="auto"/>
                <w:vertAlign w:val="baseline"/>
                <w:lang w:val="en-US" w:eastAsia="zh-CN"/>
              </w:rPr>
            </w:pPr>
          </w:p>
        </w:tc>
        <w:tc>
          <w:tcPr>
            <w:tcW w:w="1717" w:type="dxa"/>
          </w:tcPr>
          <w:p>
            <w:pPr>
              <w:pStyle w:val="12"/>
              <w:spacing w:line="360" w:lineRule="auto"/>
              <w:rPr>
                <w:rFonts w:hint="eastAsia"/>
                <w:color w:val="auto"/>
                <w:vertAlign w:val="baseline"/>
                <w:lang w:val="en-US" w:eastAsia="zh-CN"/>
              </w:rPr>
            </w:pPr>
          </w:p>
        </w:tc>
        <w:tc>
          <w:tcPr>
            <w:tcW w:w="2471" w:type="dxa"/>
          </w:tcPr>
          <w:p>
            <w:pPr>
              <w:pStyle w:val="12"/>
              <w:spacing w:line="360" w:lineRule="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pStyle w:val="12"/>
              <w:spacing w:line="360" w:lineRule="auto"/>
              <w:rPr>
                <w:rFonts w:hint="eastAsia"/>
                <w:color w:val="auto"/>
                <w:vertAlign w:val="baseline"/>
                <w:lang w:val="en-US" w:eastAsia="zh-CN"/>
              </w:rPr>
            </w:pPr>
          </w:p>
        </w:tc>
        <w:tc>
          <w:tcPr>
            <w:tcW w:w="1065" w:type="dxa"/>
          </w:tcPr>
          <w:p>
            <w:pPr>
              <w:pStyle w:val="12"/>
              <w:spacing w:line="360" w:lineRule="auto"/>
              <w:rPr>
                <w:rFonts w:hint="eastAsia"/>
                <w:color w:val="auto"/>
                <w:vertAlign w:val="baseline"/>
                <w:lang w:val="en-US" w:eastAsia="zh-CN"/>
              </w:rPr>
            </w:pPr>
          </w:p>
        </w:tc>
        <w:tc>
          <w:tcPr>
            <w:tcW w:w="2204" w:type="dxa"/>
          </w:tcPr>
          <w:p>
            <w:pPr>
              <w:pStyle w:val="12"/>
              <w:spacing w:line="360" w:lineRule="auto"/>
              <w:rPr>
                <w:rFonts w:hint="eastAsia"/>
                <w:color w:val="auto"/>
                <w:vertAlign w:val="baseline"/>
                <w:lang w:val="en-US" w:eastAsia="zh-CN"/>
              </w:rPr>
            </w:pPr>
          </w:p>
        </w:tc>
        <w:tc>
          <w:tcPr>
            <w:tcW w:w="1717" w:type="dxa"/>
          </w:tcPr>
          <w:p>
            <w:pPr>
              <w:pStyle w:val="12"/>
              <w:spacing w:line="360" w:lineRule="auto"/>
              <w:rPr>
                <w:rFonts w:hint="eastAsia"/>
                <w:color w:val="auto"/>
                <w:vertAlign w:val="baseline"/>
                <w:lang w:val="en-US" w:eastAsia="zh-CN"/>
              </w:rPr>
            </w:pPr>
          </w:p>
        </w:tc>
        <w:tc>
          <w:tcPr>
            <w:tcW w:w="2471" w:type="dxa"/>
          </w:tcPr>
          <w:p>
            <w:pPr>
              <w:pStyle w:val="12"/>
              <w:spacing w:line="360" w:lineRule="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pStyle w:val="12"/>
              <w:spacing w:line="360" w:lineRule="auto"/>
              <w:rPr>
                <w:rFonts w:hint="eastAsia"/>
                <w:color w:val="auto"/>
                <w:vertAlign w:val="baseline"/>
                <w:lang w:val="en-US" w:eastAsia="zh-CN"/>
              </w:rPr>
            </w:pPr>
          </w:p>
        </w:tc>
        <w:tc>
          <w:tcPr>
            <w:tcW w:w="1065" w:type="dxa"/>
          </w:tcPr>
          <w:p>
            <w:pPr>
              <w:pStyle w:val="12"/>
              <w:spacing w:line="360" w:lineRule="auto"/>
              <w:rPr>
                <w:rFonts w:hint="eastAsia"/>
                <w:color w:val="auto"/>
                <w:vertAlign w:val="baseline"/>
                <w:lang w:val="en-US" w:eastAsia="zh-CN"/>
              </w:rPr>
            </w:pPr>
          </w:p>
        </w:tc>
        <w:tc>
          <w:tcPr>
            <w:tcW w:w="2204" w:type="dxa"/>
          </w:tcPr>
          <w:p>
            <w:pPr>
              <w:pStyle w:val="12"/>
              <w:spacing w:line="360" w:lineRule="auto"/>
              <w:rPr>
                <w:rFonts w:hint="eastAsia"/>
                <w:color w:val="auto"/>
                <w:vertAlign w:val="baseline"/>
                <w:lang w:val="en-US" w:eastAsia="zh-CN"/>
              </w:rPr>
            </w:pPr>
          </w:p>
        </w:tc>
        <w:tc>
          <w:tcPr>
            <w:tcW w:w="1717" w:type="dxa"/>
          </w:tcPr>
          <w:p>
            <w:pPr>
              <w:pStyle w:val="12"/>
              <w:spacing w:line="360" w:lineRule="auto"/>
              <w:rPr>
                <w:rFonts w:hint="eastAsia"/>
                <w:color w:val="auto"/>
                <w:vertAlign w:val="baseline"/>
                <w:lang w:val="en-US" w:eastAsia="zh-CN"/>
              </w:rPr>
            </w:pPr>
          </w:p>
        </w:tc>
        <w:tc>
          <w:tcPr>
            <w:tcW w:w="2471" w:type="dxa"/>
          </w:tcPr>
          <w:p>
            <w:pPr>
              <w:pStyle w:val="12"/>
              <w:spacing w:line="360" w:lineRule="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pStyle w:val="12"/>
              <w:spacing w:line="360" w:lineRule="auto"/>
              <w:rPr>
                <w:rFonts w:hint="eastAsia"/>
                <w:color w:val="auto"/>
                <w:vertAlign w:val="baseline"/>
                <w:lang w:val="en-US" w:eastAsia="zh-CN"/>
              </w:rPr>
            </w:pPr>
          </w:p>
        </w:tc>
        <w:tc>
          <w:tcPr>
            <w:tcW w:w="1065" w:type="dxa"/>
          </w:tcPr>
          <w:p>
            <w:pPr>
              <w:pStyle w:val="12"/>
              <w:spacing w:line="360" w:lineRule="auto"/>
              <w:rPr>
                <w:rFonts w:hint="eastAsia"/>
                <w:color w:val="auto"/>
                <w:vertAlign w:val="baseline"/>
                <w:lang w:val="en-US" w:eastAsia="zh-CN"/>
              </w:rPr>
            </w:pPr>
          </w:p>
        </w:tc>
        <w:tc>
          <w:tcPr>
            <w:tcW w:w="2204" w:type="dxa"/>
          </w:tcPr>
          <w:p>
            <w:pPr>
              <w:pStyle w:val="12"/>
              <w:spacing w:line="360" w:lineRule="auto"/>
              <w:rPr>
                <w:rFonts w:hint="eastAsia"/>
                <w:color w:val="auto"/>
                <w:vertAlign w:val="baseline"/>
                <w:lang w:val="en-US" w:eastAsia="zh-CN"/>
              </w:rPr>
            </w:pPr>
          </w:p>
        </w:tc>
        <w:tc>
          <w:tcPr>
            <w:tcW w:w="1717" w:type="dxa"/>
          </w:tcPr>
          <w:p>
            <w:pPr>
              <w:pStyle w:val="12"/>
              <w:spacing w:line="360" w:lineRule="auto"/>
              <w:rPr>
                <w:rFonts w:hint="eastAsia"/>
                <w:color w:val="auto"/>
                <w:vertAlign w:val="baseline"/>
                <w:lang w:val="en-US" w:eastAsia="zh-CN"/>
              </w:rPr>
            </w:pPr>
          </w:p>
        </w:tc>
        <w:tc>
          <w:tcPr>
            <w:tcW w:w="2471" w:type="dxa"/>
          </w:tcPr>
          <w:p>
            <w:pPr>
              <w:pStyle w:val="12"/>
              <w:spacing w:line="360" w:lineRule="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pStyle w:val="12"/>
              <w:spacing w:line="360" w:lineRule="auto"/>
              <w:rPr>
                <w:rFonts w:hint="eastAsia"/>
                <w:color w:val="auto"/>
                <w:vertAlign w:val="baseline"/>
                <w:lang w:val="en-US" w:eastAsia="zh-CN"/>
              </w:rPr>
            </w:pPr>
          </w:p>
        </w:tc>
        <w:tc>
          <w:tcPr>
            <w:tcW w:w="1065" w:type="dxa"/>
          </w:tcPr>
          <w:p>
            <w:pPr>
              <w:pStyle w:val="12"/>
              <w:spacing w:line="360" w:lineRule="auto"/>
              <w:rPr>
                <w:rFonts w:hint="eastAsia"/>
                <w:color w:val="auto"/>
                <w:vertAlign w:val="baseline"/>
                <w:lang w:val="en-US" w:eastAsia="zh-CN"/>
              </w:rPr>
            </w:pPr>
          </w:p>
        </w:tc>
        <w:tc>
          <w:tcPr>
            <w:tcW w:w="2204" w:type="dxa"/>
          </w:tcPr>
          <w:p>
            <w:pPr>
              <w:pStyle w:val="12"/>
              <w:spacing w:line="360" w:lineRule="auto"/>
              <w:rPr>
                <w:rFonts w:hint="eastAsia"/>
                <w:color w:val="auto"/>
                <w:vertAlign w:val="baseline"/>
                <w:lang w:val="en-US" w:eastAsia="zh-CN"/>
              </w:rPr>
            </w:pPr>
          </w:p>
        </w:tc>
        <w:tc>
          <w:tcPr>
            <w:tcW w:w="1717" w:type="dxa"/>
          </w:tcPr>
          <w:p>
            <w:pPr>
              <w:pStyle w:val="12"/>
              <w:spacing w:line="360" w:lineRule="auto"/>
              <w:rPr>
                <w:rFonts w:hint="eastAsia"/>
                <w:color w:val="auto"/>
                <w:vertAlign w:val="baseline"/>
                <w:lang w:val="en-US" w:eastAsia="zh-CN"/>
              </w:rPr>
            </w:pPr>
          </w:p>
        </w:tc>
        <w:tc>
          <w:tcPr>
            <w:tcW w:w="2471" w:type="dxa"/>
          </w:tcPr>
          <w:p>
            <w:pPr>
              <w:pStyle w:val="12"/>
              <w:spacing w:line="360" w:lineRule="auto"/>
              <w:rPr>
                <w:rFonts w:hint="eastAsia"/>
                <w:color w:val="auto"/>
                <w:vertAlign w:val="baseline"/>
                <w:lang w:val="en-US" w:eastAsia="zh-CN"/>
              </w:rPr>
            </w:pPr>
          </w:p>
        </w:tc>
      </w:tr>
    </w:tbl>
    <w:p>
      <w:pPr>
        <w:pStyle w:val="12"/>
        <w:spacing w:line="360" w:lineRule="auto"/>
        <w:ind w:left="0" w:leftChars="0" w:firstLine="0"/>
        <w:rPr>
          <w:rFonts w:hint="eastAsia"/>
          <w:color w:val="auto"/>
          <w:lang w:val="en-US" w:eastAsia="zh-CN"/>
        </w:rPr>
      </w:pPr>
    </w:p>
    <w:p>
      <w:pPr>
        <w:pStyle w:val="12"/>
        <w:spacing w:line="360" w:lineRule="auto"/>
        <w:rPr>
          <w:rFonts w:hint="default"/>
          <w:color w:val="auto"/>
          <w:lang w:val="en-US" w:eastAsia="zh-CN"/>
        </w:rPr>
      </w:pPr>
    </w:p>
    <w:p>
      <w:pPr>
        <w:pStyle w:val="12"/>
        <w:spacing w:line="360" w:lineRule="auto"/>
        <w:rPr>
          <w:color w:val="auto"/>
        </w:rPr>
      </w:pPr>
    </w:p>
    <w:p>
      <w:pPr>
        <w:adjustRightInd w:val="0"/>
        <w:snapToGrid w:val="0"/>
        <w:spacing w:line="360" w:lineRule="auto"/>
        <w:jc w:val="left"/>
        <w:rPr>
          <w:rFonts w:ascii="宋体" w:hAnsi="宋体" w:cs="Arial Unicode MS"/>
          <w:color w:val="auto"/>
          <w:kern w:val="0"/>
          <w:sz w:val="24"/>
        </w:rPr>
      </w:pPr>
    </w:p>
    <w:p>
      <w:pPr>
        <w:spacing w:line="360" w:lineRule="auto"/>
        <w:rPr>
          <w:color w:val="auto"/>
        </w:rPr>
      </w:pPr>
    </w:p>
    <w:p>
      <w:pPr>
        <w:adjustRightInd w:val="0"/>
        <w:snapToGrid w:val="0"/>
        <w:spacing w:line="360" w:lineRule="auto"/>
        <w:jc w:val="left"/>
        <w:rPr>
          <w:rFonts w:ascii="宋体" w:hAnsi="宋体" w:cs="Arial Unicode MS"/>
          <w:color w:val="auto"/>
          <w:kern w:val="0"/>
          <w:sz w:val="24"/>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4DB98"/>
    <w:multiLevelType w:val="singleLevel"/>
    <w:tmpl w:val="A194DB98"/>
    <w:lvl w:ilvl="0" w:tentative="0">
      <w:start w:val="1"/>
      <w:numFmt w:val="decimal"/>
      <w:lvlText w:val="%1."/>
      <w:lvlJc w:val="left"/>
      <w:pPr>
        <w:ind w:left="425" w:hanging="425"/>
      </w:pPr>
      <w:rPr>
        <w:rFonts w:hint="default"/>
      </w:rPr>
    </w:lvl>
  </w:abstractNum>
  <w:abstractNum w:abstractNumId="1">
    <w:nsid w:val="C6B1AE46"/>
    <w:multiLevelType w:val="singleLevel"/>
    <w:tmpl w:val="C6B1AE46"/>
    <w:lvl w:ilvl="0" w:tentative="0">
      <w:start w:val="1"/>
      <w:numFmt w:val="decimal"/>
      <w:lvlText w:val="%1."/>
      <w:lvlJc w:val="left"/>
      <w:pPr>
        <w:ind w:left="425" w:hanging="425"/>
      </w:pPr>
      <w:rPr>
        <w:rFonts w:hint="default"/>
      </w:rPr>
    </w:lvl>
  </w:abstractNum>
  <w:abstractNum w:abstractNumId="2">
    <w:nsid w:val="EF7879A6"/>
    <w:multiLevelType w:val="singleLevel"/>
    <w:tmpl w:val="EF7879A6"/>
    <w:lvl w:ilvl="0" w:tentative="0">
      <w:start w:val="1"/>
      <w:numFmt w:val="decimal"/>
      <w:lvlText w:val="%1."/>
      <w:lvlJc w:val="left"/>
      <w:pPr>
        <w:ind w:left="425" w:hanging="425"/>
      </w:pPr>
      <w:rPr>
        <w:rFonts w:hint="default"/>
      </w:rPr>
    </w:lvl>
  </w:abstractNum>
  <w:abstractNum w:abstractNumId="3">
    <w:nsid w:val="5FAF7059"/>
    <w:multiLevelType w:val="singleLevel"/>
    <w:tmpl w:val="5FAF7059"/>
    <w:lvl w:ilvl="0" w:tentative="0">
      <w:start w:val="1"/>
      <w:numFmt w:val="chineseCounting"/>
      <w:suff w:val="nothing"/>
      <w:lvlText w:val="（%1）"/>
      <w:lvlJc w:val="left"/>
      <w:rPr>
        <w:rFonts w:hint="eastAsia"/>
      </w:rPr>
    </w:lvl>
  </w:abstractNum>
  <w:abstractNum w:abstractNumId="4">
    <w:nsid w:val="6ED0B6A4"/>
    <w:multiLevelType w:val="singleLevel"/>
    <w:tmpl w:val="6ED0B6A4"/>
    <w:lvl w:ilvl="0" w:tentative="0">
      <w:start w:val="5"/>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3ZWFjNmU5ZWY4NGNkNjRhMWFjZTYwZTEwZTJhODYifQ=="/>
  </w:docVars>
  <w:rsids>
    <w:rsidRoot w:val="009F0430"/>
    <w:rsid w:val="00001A68"/>
    <w:rsid w:val="000212F2"/>
    <w:rsid w:val="0004258A"/>
    <w:rsid w:val="00055294"/>
    <w:rsid w:val="00067916"/>
    <w:rsid w:val="00070454"/>
    <w:rsid w:val="0007352F"/>
    <w:rsid w:val="00074B47"/>
    <w:rsid w:val="000A346A"/>
    <w:rsid w:val="000D7F59"/>
    <w:rsid w:val="000F018C"/>
    <w:rsid w:val="000F44C3"/>
    <w:rsid w:val="00101AD2"/>
    <w:rsid w:val="0012007C"/>
    <w:rsid w:val="00143C42"/>
    <w:rsid w:val="00144742"/>
    <w:rsid w:val="001640B2"/>
    <w:rsid w:val="00184094"/>
    <w:rsid w:val="00193097"/>
    <w:rsid w:val="001C19DA"/>
    <w:rsid w:val="001C4EB5"/>
    <w:rsid w:val="001C69EA"/>
    <w:rsid w:val="001F3311"/>
    <w:rsid w:val="001F3618"/>
    <w:rsid w:val="00225CA9"/>
    <w:rsid w:val="00242203"/>
    <w:rsid w:val="00257B63"/>
    <w:rsid w:val="00275321"/>
    <w:rsid w:val="002C1E2A"/>
    <w:rsid w:val="002E43D7"/>
    <w:rsid w:val="002F1035"/>
    <w:rsid w:val="0035212F"/>
    <w:rsid w:val="00361875"/>
    <w:rsid w:val="00365F96"/>
    <w:rsid w:val="00395E6B"/>
    <w:rsid w:val="003A2324"/>
    <w:rsid w:val="003B6679"/>
    <w:rsid w:val="003C7562"/>
    <w:rsid w:val="003D2B2D"/>
    <w:rsid w:val="003F4A32"/>
    <w:rsid w:val="004275D5"/>
    <w:rsid w:val="00433C1C"/>
    <w:rsid w:val="0043723D"/>
    <w:rsid w:val="00462BE1"/>
    <w:rsid w:val="00480616"/>
    <w:rsid w:val="004B6266"/>
    <w:rsid w:val="004D5CC1"/>
    <w:rsid w:val="004E6FF5"/>
    <w:rsid w:val="004F449D"/>
    <w:rsid w:val="004F52A2"/>
    <w:rsid w:val="00501348"/>
    <w:rsid w:val="005131E1"/>
    <w:rsid w:val="005258BD"/>
    <w:rsid w:val="00527F3B"/>
    <w:rsid w:val="00551CC7"/>
    <w:rsid w:val="00552344"/>
    <w:rsid w:val="0058542C"/>
    <w:rsid w:val="00592F42"/>
    <w:rsid w:val="005B133A"/>
    <w:rsid w:val="005D0CF1"/>
    <w:rsid w:val="005D5471"/>
    <w:rsid w:val="005E325B"/>
    <w:rsid w:val="005E7A64"/>
    <w:rsid w:val="005F2B0E"/>
    <w:rsid w:val="005F3AA8"/>
    <w:rsid w:val="00600FC0"/>
    <w:rsid w:val="00687A3C"/>
    <w:rsid w:val="006963F2"/>
    <w:rsid w:val="006A381D"/>
    <w:rsid w:val="006B7385"/>
    <w:rsid w:val="006C2AEA"/>
    <w:rsid w:val="006E1DE6"/>
    <w:rsid w:val="006F6056"/>
    <w:rsid w:val="00700428"/>
    <w:rsid w:val="007030A1"/>
    <w:rsid w:val="007229DE"/>
    <w:rsid w:val="007372C7"/>
    <w:rsid w:val="007414A0"/>
    <w:rsid w:val="0075035E"/>
    <w:rsid w:val="0077454B"/>
    <w:rsid w:val="007821E2"/>
    <w:rsid w:val="00792429"/>
    <w:rsid w:val="007A62F4"/>
    <w:rsid w:val="007A653D"/>
    <w:rsid w:val="007A7026"/>
    <w:rsid w:val="007B5EAC"/>
    <w:rsid w:val="007C2795"/>
    <w:rsid w:val="00814106"/>
    <w:rsid w:val="00831A5A"/>
    <w:rsid w:val="0085614A"/>
    <w:rsid w:val="00860CE9"/>
    <w:rsid w:val="0086185B"/>
    <w:rsid w:val="0086555A"/>
    <w:rsid w:val="00867DB1"/>
    <w:rsid w:val="008B6D9E"/>
    <w:rsid w:val="009010BD"/>
    <w:rsid w:val="00901D5C"/>
    <w:rsid w:val="00955D44"/>
    <w:rsid w:val="00962EBF"/>
    <w:rsid w:val="00985B06"/>
    <w:rsid w:val="00994EAD"/>
    <w:rsid w:val="009B0344"/>
    <w:rsid w:val="009D34A7"/>
    <w:rsid w:val="009F0430"/>
    <w:rsid w:val="009F3F75"/>
    <w:rsid w:val="00A34917"/>
    <w:rsid w:val="00A43251"/>
    <w:rsid w:val="00A43D84"/>
    <w:rsid w:val="00A47A5F"/>
    <w:rsid w:val="00A50F50"/>
    <w:rsid w:val="00A60036"/>
    <w:rsid w:val="00A741ED"/>
    <w:rsid w:val="00A9302E"/>
    <w:rsid w:val="00AA05D0"/>
    <w:rsid w:val="00AC39EA"/>
    <w:rsid w:val="00AF67B8"/>
    <w:rsid w:val="00B02579"/>
    <w:rsid w:val="00B32C9E"/>
    <w:rsid w:val="00B377E0"/>
    <w:rsid w:val="00B40428"/>
    <w:rsid w:val="00B505F4"/>
    <w:rsid w:val="00B52C09"/>
    <w:rsid w:val="00B6442A"/>
    <w:rsid w:val="00B6711C"/>
    <w:rsid w:val="00B84AC3"/>
    <w:rsid w:val="00BA6ED2"/>
    <w:rsid w:val="00BA7C69"/>
    <w:rsid w:val="00BE45B1"/>
    <w:rsid w:val="00BF02FF"/>
    <w:rsid w:val="00C03C73"/>
    <w:rsid w:val="00C15730"/>
    <w:rsid w:val="00C35F62"/>
    <w:rsid w:val="00C368FE"/>
    <w:rsid w:val="00C9118A"/>
    <w:rsid w:val="00C954B4"/>
    <w:rsid w:val="00CA27A4"/>
    <w:rsid w:val="00CD66B7"/>
    <w:rsid w:val="00D05148"/>
    <w:rsid w:val="00D11D0F"/>
    <w:rsid w:val="00D35262"/>
    <w:rsid w:val="00D36C3B"/>
    <w:rsid w:val="00D42F9A"/>
    <w:rsid w:val="00D46FF3"/>
    <w:rsid w:val="00D55351"/>
    <w:rsid w:val="00D62AD1"/>
    <w:rsid w:val="00D665B4"/>
    <w:rsid w:val="00D81ED7"/>
    <w:rsid w:val="00D86B89"/>
    <w:rsid w:val="00DB4E47"/>
    <w:rsid w:val="00DC5CAD"/>
    <w:rsid w:val="00DE4790"/>
    <w:rsid w:val="00E16E75"/>
    <w:rsid w:val="00E266A5"/>
    <w:rsid w:val="00E45750"/>
    <w:rsid w:val="00E4694A"/>
    <w:rsid w:val="00E54784"/>
    <w:rsid w:val="00E658B9"/>
    <w:rsid w:val="00E82E67"/>
    <w:rsid w:val="00EB0FBE"/>
    <w:rsid w:val="00EF1C58"/>
    <w:rsid w:val="00F002C0"/>
    <w:rsid w:val="00F21F20"/>
    <w:rsid w:val="00F50B55"/>
    <w:rsid w:val="00F67479"/>
    <w:rsid w:val="00F70843"/>
    <w:rsid w:val="00F81386"/>
    <w:rsid w:val="00FB52AF"/>
    <w:rsid w:val="00FC035D"/>
    <w:rsid w:val="00FC28AE"/>
    <w:rsid w:val="02831C4F"/>
    <w:rsid w:val="02AA3857"/>
    <w:rsid w:val="0399202B"/>
    <w:rsid w:val="052B5154"/>
    <w:rsid w:val="07BC4B8E"/>
    <w:rsid w:val="095313EC"/>
    <w:rsid w:val="0A196286"/>
    <w:rsid w:val="0BB804FD"/>
    <w:rsid w:val="0CC453E2"/>
    <w:rsid w:val="0FA97E88"/>
    <w:rsid w:val="0FE83B0C"/>
    <w:rsid w:val="112A22DF"/>
    <w:rsid w:val="15335286"/>
    <w:rsid w:val="16996F47"/>
    <w:rsid w:val="176C52DF"/>
    <w:rsid w:val="181A30AD"/>
    <w:rsid w:val="183121A5"/>
    <w:rsid w:val="193D7769"/>
    <w:rsid w:val="19C823C3"/>
    <w:rsid w:val="1B120284"/>
    <w:rsid w:val="1B3B20ED"/>
    <w:rsid w:val="1DC419F5"/>
    <w:rsid w:val="216F59A0"/>
    <w:rsid w:val="21C63EB0"/>
    <w:rsid w:val="22FB235D"/>
    <w:rsid w:val="258B383C"/>
    <w:rsid w:val="26150399"/>
    <w:rsid w:val="265239FF"/>
    <w:rsid w:val="2A252A7A"/>
    <w:rsid w:val="2A2C3067"/>
    <w:rsid w:val="2AD07F5B"/>
    <w:rsid w:val="2B885BD7"/>
    <w:rsid w:val="2BB76A21"/>
    <w:rsid w:val="2E8E2039"/>
    <w:rsid w:val="2EBD258D"/>
    <w:rsid w:val="2F9F5C3C"/>
    <w:rsid w:val="305934BB"/>
    <w:rsid w:val="35675A74"/>
    <w:rsid w:val="35916A2A"/>
    <w:rsid w:val="36890A12"/>
    <w:rsid w:val="396E4426"/>
    <w:rsid w:val="399D5252"/>
    <w:rsid w:val="3B0449E9"/>
    <w:rsid w:val="3B420685"/>
    <w:rsid w:val="3BAE21CC"/>
    <w:rsid w:val="3E822C12"/>
    <w:rsid w:val="3FB1091D"/>
    <w:rsid w:val="3FCA73F2"/>
    <w:rsid w:val="411053AE"/>
    <w:rsid w:val="41387321"/>
    <w:rsid w:val="414D3566"/>
    <w:rsid w:val="41DB575A"/>
    <w:rsid w:val="42760B78"/>
    <w:rsid w:val="43D56101"/>
    <w:rsid w:val="467D28D5"/>
    <w:rsid w:val="46DC4798"/>
    <w:rsid w:val="48C9090C"/>
    <w:rsid w:val="4AD7783A"/>
    <w:rsid w:val="4AF279C8"/>
    <w:rsid w:val="4B9C2846"/>
    <w:rsid w:val="4CBE14F7"/>
    <w:rsid w:val="4D7E4E08"/>
    <w:rsid w:val="4F8B7397"/>
    <w:rsid w:val="4FA6489B"/>
    <w:rsid w:val="4FD47450"/>
    <w:rsid w:val="50BE18DE"/>
    <w:rsid w:val="51FA3AE4"/>
    <w:rsid w:val="56B6219F"/>
    <w:rsid w:val="58211523"/>
    <w:rsid w:val="5907397C"/>
    <w:rsid w:val="5A087AC2"/>
    <w:rsid w:val="5A0A04CC"/>
    <w:rsid w:val="5A7D0D70"/>
    <w:rsid w:val="5B895418"/>
    <w:rsid w:val="5D4A3D7C"/>
    <w:rsid w:val="5E9C00ED"/>
    <w:rsid w:val="5EA87BB5"/>
    <w:rsid w:val="5FC74D74"/>
    <w:rsid w:val="61D87A3E"/>
    <w:rsid w:val="62205A89"/>
    <w:rsid w:val="658007FD"/>
    <w:rsid w:val="65C2569B"/>
    <w:rsid w:val="67350470"/>
    <w:rsid w:val="67A2621D"/>
    <w:rsid w:val="67F500C6"/>
    <w:rsid w:val="687B263D"/>
    <w:rsid w:val="688C33BC"/>
    <w:rsid w:val="6C5E0930"/>
    <w:rsid w:val="6D176091"/>
    <w:rsid w:val="6D416A88"/>
    <w:rsid w:val="6E2F56AF"/>
    <w:rsid w:val="6F56267C"/>
    <w:rsid w:val="7044184B"/>
    <w:rsid w:val="71185132"/>
    <w:rsid w:val="718D2201"/>
    <w:rsid w:val="71E157B0"/>
    <w:rsid w:val="74412D23"/>
    <w:rsid w:val="747B284E"/>
    <w:rsid w:val="74D22ECD"/>
    <w:rsid w:val="758672B5"/>
    <w:rsid w:val="761530CF"/>
    <w:rsid w:val="76944F4E"/>
    <w:rsid w:val="76D27DBD"/>
    <w:rsid w:val="793C27A7"/>
    <w:rsid w:val="7C305674"/>
    <w:rsid w:val="7C584F4F"/>
    <w:rsid w:val="7C6A6979"/>
    <w:rsid w:val="7C86253A"/>
    <w:rsid w:val="7D5E5240"/>
    <w:rsid w:val="7D786118"/>
    <w:rsid w:val="7E920F5B"/>
    <w:rsid w:val="7FDE23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rPr>
      <w:rFonts w:ascii="Calibri" w:hAnsi="Calibri"/>
    </w:rPr>
  </w:style>
  <w:style w:type="paragraph" w:styleId="3">
    <w:name w:val="annotation text"/>
    <w:basedOn w:val="1"/>
    <w:link w:val="46"/>
    <w:semiHidden/>
    <w:unhideWhenUsed/>
    <w:qFormat/>
    <w:uiPriority w:val="99"/>
    <w:pPr>
      <w:jc w:val="left"/>
    </w:pPr>
  </w:style>
  <w:style w:type="paragraph" w:styleId="4">
    <w:name w:val="Body Text"/>
    <w:basedOn w:val="1"/>
    <w:qFormat/>
    <w:uiPriority w:val="0"/>
    <w:pPr>
      <w:spacing w:after="120"/>
    </w:pPr>
    <w:rPr>
      <w:rFonts w:ascii="Verdana" w:hAnsi="Verdana"/>
    </w:rPr>
  </w:style>
  <w:style w:type="paragraph" w:styleId="5">
    <w:name w:val="Body Text Indent"/>
    <w:basedOn w:val="1"/>
    <w:next w:val="6"/>
    <w:unhideWhenUsed/>
    <w:qFormat/>
    <w:uiPriority w:val="99"/>
    <w:pPr>
      <w:spacing w:after="120"/>
      <w:ind w:left="420" w:leftChars="200"/>
    </w:pPr>
  </w:style>
  <w:style w:type="paragraph" w:styleId="6">
    <w:name w:val="envelope return"/>
    <w:basedOn w:val="1"/>
    <w:unhideWhenUsed/>
    <w:qFormat/>
    <w:uiPriority w:val="99"/>
    <w:rPr>
      <w:rFonts w:ascii="Arial" w:hAnsi="Arial"/>
    </w:rPr>
  </w:style>
  <w:style w:type="paragraph" w:styleId="7">
    <w:name w:val="Date"/>
    <w:basedOn w:val="1"/>
    <w:next w:val="1"/>
    <w:link w:val="23"/>
    <w:unhideWhenUsed/>
    <w:qFormat/>
    <w:uiPriority w:val="99"/>
    <w:pPr>
      <w:ind w:left="100" w:leftChars="2500"/>
    </w:pPr>
  </w:style>
  <w:style w:type="paragraph" w:styleId="8">
    <w:name w:val="Balloon Text"/>
    <w:basedOn w:val="1"/>
    <w:qFormat/>
    <w:uiPriority w:val="0"/>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3"/>
    <w:next w:val="3"/>
    <w:link w:val="47"/>
    <w:semiHidden/>
    <w:unhideWhenUsed/>
    <w:qFormat/>
    <w:uiPriority w:val="99"/>
    <w:rPr>
      <w:b/>
      <w:bCs/>
    </w:rPr>
  </w:style>
  <w:style w:type="paragraph" w:styleId="12">
    <w:name w:val="Body Text First Indent 2"/>
    <w:basedOn w:val="5"/>
    <w:unhideWhenUsed/>
    <w:qFormat/>
    <w:uiPriority w:val="99"/>
    <w:pPr>
      <w:ind w:firstLine="42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rFonts w:hint="default" w:ascii="Arial" w:hAnsi="Arial" w:eastAsia="Arial" w:cs="Arial"/>
      <w:color w:val="333333"/>
      <w:sz w:val="21"/>
      <w:szCs w:val="21"/>
      <w:u w:val="none"/>
    </w:rPr>
  </w:style>
  <w:style w:type="character" w:styleId="17">
    <w:name w:val="Hyperlink"/>
    <w:basedOn w:val="15"/>
    <w:unhideWhenUsed/>
    <w:qFormat/>
    <w:uiPriority w:val="99"/>
    <w:rPr>
      <w:rFonts w:ascii="Arial" w:hAnsi="Arial" w:eastAsia="Arial" w:cs="Arial"/>
      <w:color w:val="333333"/>
      <w:sz w:val="21"/>
      <w:szCs w:val="21"/>
      <w:u w:val="none"/>
    </w:rPr>
  </w:style>
  <w:style w:type="character" w:styleId="18">
    <w:name w:val="annotation reference"/>
    <w:basedOn w:val="15"/>
    <w:unhideWhenUsed/>
    <w:qFormat/>
    <w:uiPriority w:val="99"/>
    <w:rPr>
      <w:sz w:val="21"/>
      <w:szCs w:val="21"/>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Fließtext"/>
    <w:basedOn w:val="1"/>
    <w:qFormat/>
    <w:uiPriority w:val="0"/>
    <w:pPr>
      <w:overflowPunct w:val="0"/>
      <w:autoSpaceDE w:val="0"/>
      <w:autoSpaceDN w:val="0"/>
      <w:adjustRightInd w:val="0"/>
    </w:pPr>
    <w:rPr>
      <w:kern w:val="28"/>
    </w:rPr>
  </w:style>
  <w:style w:type="character" w:customStyle="1" w:styleId="21">
    <w:name w:val="页脚 Char"/>
    <w:basedOn w:val="15"/>
    <w:link w:val="9"/>
    <w:semiHidden/>
    <w:qFormat/>
    <w:uiPriority w:val="99"/>
    <w:rPr>
      <w:rFonts w:ascii="Times New Roman" w:hAnsi="Times New Roman" w:eastAsia="宋体" w:cs="Times New Roman"/>
      <w:sz w:val="18"/>
      <w:szCs w:val="18"/>
    </w:rPr>
  </w:style>
  <w:style w:type="character" w:customStyle="1" w:styleId="22">
    <w:name w:val="hover53"/>
    <w:basedOn w:val="15"/>
    <w:qFormat/>
    <w:uiPriority w:val="0"/>
    <w:rPr>
      <w:color w:val="4285F4"/>
      <w:u w:val="none"/>
    </w:rPr>
  </w:style>
  <w:style w:type="character" w:customStyle="1" w:styleId="23">
    <w:name w:val="日期 Char"/>
    <w:basedOn w:val="15"/>
    <w:link w:val="7"/>
    <w:semiHidden/>
    <w:qFormat/>
    <w:uiPriority w:val="99"/>
    <w:rPr>
      <w:rFonts w:ascii="Times New Roman" w:hAnsi="Times New Roman"/>
      <w:kern w:val="2"/>
      <w:sz w:val="21"/>
      <w:szCs w:val="24"/>
    </w:rPr>
  </w:style>
  <w:style w:type="character" w:customStyle="1" w:styleId="24">
    <w:name w:val="hover56"/>
    <w:basedOn w:val="15"/>
    <w:qFormat/>
    <w:uiPriority w:val="0"/>
  </w:style>
  <w:style w:type="character" w:customStyle="1" w:styleId="25">
    <w:name w:val="active4"/>
    <w:basedOn w:val="15"/>
    <w:qFormat/>
    <w:uiPriority w:val="0"/>
    <w:rPr>
      <w:color w:val="4285F4"/>
      <w:bdr w:val="single" w:color="4285F4" w:sz="6" w:space="0"/>
    </w:rPr>
  </w:style>
  <w:style w:type="character" w:customStyle="1" w:styleId="26">
    <w:name w:val="before"/>
    <w:basedOn w:val="15"/>
    <w:qFormat/>
    <w:uiPriority w:val="0"/>
    <w:rPr>
      <w:bdr w:val="single" w:color="auto" w:sz="48" w:space="0"/>
    </w:rPr>
  </w:style>
  <w:style w:type="character" w:customStyle="1" w:styleId="27">
    <w:name w:val="页眉 Char"/>
    <w:basedOn w:val="15"/>
    <w:link w:val="10"/>
    <w:semiHidden/>
    <w:qFormat/>
    <w:uiPriority w:val="99"/>
    <w:rPr>
      <w:rFonts w:ascii="Times New Roman" w:hAnsi="Times New Roman" w:eastAsia="宋体" w:cs="Times New Roman"/>
      <w:sz w:val="18"/>
      <w:szCs w:val="18"/>
    </w:rPr>
  </w:style>
  <w:style w:type="character" w:customStyle="1" w:styleId="28">
    <w:name w:val="first-child"/>
    <w:basedOn w:val="15"/>
    <w:qFormat/>
    <w:uiPriority w:val="0"/>
  </w:style>
  <w:style w:type="character" w:customStyle="1" w:styleId="29">
    <w:name w:val="last-child1"/>
    <w:basedOn w:val="15"/>
    <w:qFormat/>
    <w:uiPriority w:val="0"/>
  </w:style>
  <w:style w:type="character" w:customStyle="1" w:styleId="30">
    <w:name w:val="hover52"/>
    <w:basedOn w:val="15"/>
    <w:qFormat/>
    <w:uiPriority w:val="0"/>
    <w:rPr>
      <w:color w:val="4285F4"/>
    </w:rPr>
  </w:style>
  <w:style w:type="character" w:customStyle="1" w:styleId="31">
    <w:name w:val="font01"/>
    <w:basedOn w:val="15"/>
    <w:qFormat/>
    <w:uiPriority w:val="0"/>
    <w:rPr>
      <w:rFonts w:ascii="Calibri" w:hAnsi="Calibri" w:cs="Calibri"/>
      <w:color w:val="000000"/>
      <w:sz w:val="22"/>
      <w:szCs w:val="22"/>
      <w:u w:val="none"/>
    </w:rPr>
  </w:style>
  <w:style w:type="character" w:customStyle="1" w:styleId="32">
    <w:name w:val="hover51"/>
    <w:basedOn w:val="15"/>
    <w:qFormat/>
    <w:uiPriority w:val="0"/>
    <w:rPr>
      <w:shd w:val="clear" w:color="auto" w:fill="346AC3"/>
    </w:rPr>
  </w:style>
  <w:style w:type="character" w:customStyle="1" w:styleId="33">
    <w:name w:val="after"/>
    <w:basedOn w:val="15"/>
    <w:qFormat/>
    <w:uiPriority w:val="0"/>
    <w:rPr>
      <w:bdr w:val="dashed" w:color="auto" w:sz="48" w:space="0"/>
    </w:rPr>
  </w:style>
  <w:style w:type="character" w:customStyle="1" w:styleId="34">
    <w:name w:val="hover54"/>
    <w:basedOn w:val="15"/>
    <w:qFormat/>
    <w:uiPriority w:val="0"/>
    <w:rPr>
      <w:color w:val="4285F4"/>
    </w:rPr>
  </w:style>
  <w:style w:type="character" w:customStyle="1" w:styleId="35">
    <w:name w:val="hover55"/>
    <w:basedOn w:val="15"/>
    <w:qFormat/>
    <w:uiPriority w:val="0"/>
    <w:rPr>
      <w:color w:val="1A85D7"/>
    </w:rPr>
  </w:style>
  <w:style w:type="character" w:customStyle="1" w:styleId="36">
    <w:name w:val="font21"/>
    <w:basedOn w:val="15"/>
    <w:qFormat/>
    <w:uiPriority w:val="0"/>
    <w:rPr>
      <w:rFonts w:hint="eastAsia" w:ascii="宋体" w:hAnsi="宋体" w:eastAsia="宋体" w:cs="宋体"/>
      <w:color w:val="000000"/>
      <w:sz w:val="28"/>
      <w:szCs w:val="28"/>
      <w:u w:val="none"/>
    </w:rPr>
  </w:style>
  <w:style w:type="character" w:customStyle="1" w:styleId="37">
    <w:name w:val="active"/>
    <w:basedOn w:val="15"/>
    <w:qFormat/>
    <w:uiPriority w:val="0"/>
    <w:rPr>
      <w:color w:val="4285F4"/>
      <w:bdr w:val="single" w:color="4285F4" w:sz="6" w:space="0"/>
    </w:rPr>
  </w:style>
  <w:style w:type="character" w:customStyle="1" w:styleId="38">
    <w:name w:val="font11"/>
    <w:basedOn w:val="15"/>
    <w:qFormat/>
    <w:uiPriority w:val="0"/>
    <w:rPr>
      <w:rFonts w:hint="eastAsia" w:ascii="宋体" w:hAnsi="宋体" w:eastAsia="宋体" w:cs="宋体"/>
      <w:color w:val="000000"/>
      <w:sz w:val="22"/>
      <w:szCs w:val="22"/>
      <w:u w:val="none"/>
    </w:rPr>
  </w:style>
  <w:style w:type="character" w:customStyle="1" w:styleId="39">
    <w:name w:val="credit"/>
    <w:basedOn w:val="15"/>
    <w:qFormat/>
    <w:uiPriority w:val="0"/>
    <w:rPr>
      <w:sz w:val="18"/>
      <w:szCs w:val="18"/>
    </w:rPr>
  </w:style>
  <w:style w:type="character" w:customStyle="1" w:styleId="40">
    <w:name w:val="hover41"/>
    <w:basedOn w:val="15"/>
    <w:qFormat/>
    <w:uiPriority w:val="0"/>
    <w:rPr>
      <w:shd w:val="clear" w:color="auto" w:fill="346AC3"/>
    </w:rPr>
  </w:style>
  <w:style w:type="character" w:customStyle="1" w:styleId="41">
    <w:name w:val="hover42"/>
    <w:basedOn w:val="15"/>
    <w:qFormat/>
    <w:uiPriority w:val="0"/>
    <w:rPr>
      <w:color w:val="4285F4"/>
    </w:rPr>
  </w:style>
  <w:style w:type="character" w:customStyle="1" w:styleId="42">
    <w:name w:val="hover43"/>
    <w:basedOn w:val="15"/>
    <w:qFormat/>
    <w:uiPriority w:val="0"/>
    <w:rPr>
      <w:color w:val="4285F4"/>
    </w:rPr>
  </w:style>
  <w:style w:type="character" w:customStyle="1" w:styleId="43">
    <w:name w:val="hover44"/>
    <w:basedOn w:val="15"/>
    <w:qFormat/>
    <w:uiPriority w:val="0"/>
    <w:rPr>
      <w:color w:val="4285F4"/>
      <w:u w:val="none"/>
    </w:rPr>
  </w:style>
  <w:style w:type="character" w:customStyle="1" w:styleId="44">
    <w:name w:val="hover45"/>
    <w:basedOn w:val="15"/>
    <w:qFormat/>
    <w:uiPriority w:val="0"/>
    <w:rPr>
      <w:color w:val="1A85D7"/>
    </w:rPr>
  </w:style>
  <w:style w:type="character" w:customStyle="1" w:styleId="45">
    <w:name w:val="hover46"/>
    <w:basedOn w:val="15"/>
    <w:qFormat/>
    <w:uiPriority w:val="0"/>
  </w:style>
  <w:style w:type="character" w:customStyle="1" w:styleId="46">
    <w:name w:val="批注文字 Char"/>
    <w:basedOn w:val="15"/>
    <w:link w:val="3"/>
    <w:semiHidden/>
    <w:qFormat/>
    <w:uiPriority w:val="99"/>
    <w:rPr>
      <w:kern w:val="2"/>
      <w:sz w:val="21"/>
      <w:szCs w:val="24"/>
    </w:rPr>
  </w:style>
  <w:style w:type="character" w:customStyle="1" w:styleId="47">
    <w:name w:val="批注主题 Char"/>
    <w:basedOn w:val="46"/>
    <w:link w:val="11"/>
    <w:semiHidden/>
    <w:qFormat/>
    <w:uiPriority w:val="99"/>
    <w:rPr>
      <w:b/>
      <w:bCs/>
    </w:rPr>
  </w:style>
  <w:style w:type="paragraph" w:customStyle="1" w:styleId="48">
    <w:name w:val="表格文字"/>
    <w:basedOn w:val="1"/>
    <w:next w:val="4"/>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4625</Words>
  <Characters>4750</Characters>
  <Lines>34</Lines>
  <Paragraphs>9</Paragraphs>
  <TotalTime>5</TotalTime>
  <ScaleCrop>false</ScaleCrop>
  <LinksUpToDate>false</LinksUpToDate>
  <CharactersWithSpaces>5030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2020-08-02T16:12:00Z</dcterms:created>
  <dc:creator>胡志雨</dc:creator>
  <cp:lastModifiedBy>Admin</cp:lastModifiedBy>
  <cp:lastPrinted>2022-01-06T08:55:00Z</cp:lastPrinted>
  <dcterms:modified xsi:type="dcterms:W3CDTF">2022-10-26T02:56:50Z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F7395AE7CFA24D48B5FDB4BB1226A48C</vt:lpwstr>
  </property>
</Properties>
</file>