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  <w:t>福建省平潭及闽江口水资源配置工程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  <w:t>大华岭勘探试验段复垦施工项目</w:t>
      </w:r>
    </w:p>
    <w:p>
      <w:pPr>
        <w:jc w:val="center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询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价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函</w:t>
      </w: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询价单位：福州水务平潭引水开发有限公司</w:t>
      </w:r>
    </w:p>
    <w:p>
      <w:pPr>
        <w:rPr>
          <w:rFonts w:hint="default" w:ascii="微软雅黑" w:hAnsi="微软雅黑" w:eastAsia="微软雅黑"/>
          <w:sz w:val="28"/>
          <w:lang w:val="en-US" w:eastAsia="zh-CN"/>
        </w:rPr>
      </w:pPr>
      <w:r>
        <w:rPr>
          <w:rFonts w:hint="eastAsia" w:ascii="微软雅黑" w:hAnsi="微软雅黑" w:eastAsia="微软雅黑"/>
          <w:sz w:val="28"/>
        </w:rPr>
        <w:t>询价编号：XJ-2022-</w:t>
      </w:r>
      <w:r>
        <w:rPr>
          <w:rFonts w:hint="eastAsia" w:ascii="微软雅黑" w:hAnsi="微软雅黑" w:eastAsia="微软雅黑"/>
          <w:sz w:val="28"/>
          <w:lang w:val="en-US" w:eastAsia="zh-CN"/>
        </w:rPr>
        <w:t>32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联系电话：0591-87867621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联系地址：福建省福州市晋安区龙安路369号中辉大厦12层</w:t>
      </w:r>
    </w:p>
    <w:p>
      <w:pPr>
        <w:rPr>
          <w:rFonts w:ascii="微软雅黑" w:hAnsi="微软雅黑" w:eastAsia="微软雅黑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sz w:val="28"/>
        </w:rPr>
        <w:t>日期：2022年</w:t>
      </w:r>
      <w:r>
        <w:rPr>
          <w:rFonts w:hint="eastAsia" w:ascii="微软雅黑" w:hAnsi="微软雅黑" w:eastAsia="微软雅黑"/>
          <w:sz w:val="28"/>
          <w:lang w:val="en-US" w:eastAsia="zh-CN"/>
        </w:rPr>
        <w:t>11月24</w:t>
      </w:r>
      <w:r>
        <w:rPr>
          <w:rFonts w:hint="eastAsia" w:ascii="微软雅黑" w:hAnsi="微软雅黑" w:eastAsia="微软雅黑"/>
          <w:sz w:val="28"/>
        </w:rPr>
        <w:t>日</w:t>
      </w:r>
    </w:p>
    <w:p>
      <w:pPr>
        <w:rPr>
          <w:rFonts w:ascii="黑体" w:hAnsi="宋体" w:eastAsia="黑体"/>
          <w:b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Cs/>
          <w:color w:val="595959"/>
          <w:sz w:val="28"/>
          <w:szCs w:val="28"/>
        </w:rPr>
      </w:pPr>
      <w:r>
        <w:rPr>
          <w:rFonts w:hint="eastAsia" w:ascii="黑体" w:hAnsi="宋体" w:eastAsia="黑体"/>
          <w:b/>
          <w:sz w:val="44"/>
          <w:szCs w:val="44"/>
        </w:rPr>
        <w:t>询价邀请函</w:t>
      </w:r>
    </w:p>
    <w:p>
      <w:pPr>
        <w:spacing w:line="360" w:lineRule="auto"/>
        <w:ind w:firstLine="480" w:firstLineChars="200"/>
        <w:jc w:val="left"/>
        <w:rPr>
          <w:rFonts w:hint="eastAsia" w:cs="仿宋" w:asciiTheme="minorEastAsia" w:hAnsiTheme="minorEastAsia" w:eastAsiaTheme="minorEastAsia"/>
          <w:bCs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我方因福建省平潭及闽江口水资源配置工程需要，现对该工程</w:t>
      </w:r>
      <w:r>
        <w:rPr>
          <w:rFonts w:hint="eastAsia" w:ascii="宋体" w:hAnsi="宋体" w:cs="宋体"/>
          <w:bCs/>
          <w:sz w:val="24"/>
          <w:lang w:val="en-US" w:eastAsia="zh-CN"/>
        </w:rPr>
        <w:t>大华岭勘探试验段复垦施工项目</w:t>
      </w:r>
      <w:r>
        <w:rPr>
          <w:rFonts w:hint="eastAsia" w:ascii="宋体" w:hAnsi="宋体" w:cs="宋体"/>
          <w:bCs/>
          <w:sz w:val="24"/>
        </w:rPr>
        <w:t>进行询价。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color w:val="auto"/>
          <w:sz w:val="24"/>
        </w:rPr>
        <w:t>报价方式：以传真或邮件形式报价（邮件须为</w:t>
      </w:r>
      <w:r>
        <w:rPr>
          <w:rFonts w:hint="eastAsia" w:ascii="宋体" w:hAnsi="宋体"/>
          <w:color w:val="auto"/>
          <w:sz w:val="24"/>
        </w:rPr>
        <w:t>原件彩色扫描件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</w:rPr>
        <w:t>）</w:t>
      </w:r>
      <w:r>
        <w:rPr>
          <w:rFonts w:hint="eastAsia" w:cs="仿宋" w:asciiTheme="minorEastAsia" w:hAnsiTheme="minorEastAsia" w:eastAsiaTheme="minorEastAsia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截止时间：2022年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12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日；在此时段后报价均无效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二、工作范围和内容：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1、福建省平潭及闽江口水资源配置（一闸三线）工程三溪口水库一福州、长乐线路大华岭勘探试验段临时用地复垦施工图，项目面积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9.45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亩，复垦 面积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9.45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亩，其中耕地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3.5®,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园地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5.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95亩.本项目建设工程内容主要为：项目区进行地表清渣，清除地表堆积残留的石块及树根等残渣并外 运，清理厚度按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0.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1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5m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计算，共需清理、外运残渣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945.00m3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,运距为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 xml:space="preserve">3km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,平整厚度约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 xml:space="preserve">0.3m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,面积按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9.45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亩计算，需平整土方 1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890.00m3.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在平整结束后需进行客土改良增加土壤肥力，客土厚度按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0.5m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计算，共需客土31 50.00。/,客土运距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40km.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其中 耕作区客运犁底层1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5cm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用土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350.00ITY3,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客运耕作土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35cm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用土81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6.67m3；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园地直接覆土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 xml:space="preserve">0.5m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,用土 1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 xml:space="preserve">983.34m'.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截洪沟数量2条，截洪沟01长度为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 xml:space="preserve">235m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,截洪沟02长度为1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 xml:space="preserve">80m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,截洪沟总长度为41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 xml:space="preserve">5m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,截洪沟长度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 xml:space="preserve">0.6m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,高度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0.6m. DN75UPVC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管道01安装长度为1 1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 xml:space="preserve">9m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, 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DN75UPVC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管道02安装长度为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en-US"/>
        </w:rPr>
        <w:t>135m.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（具体以图纸和工程量清单为准）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2、工期要求：本项目施工工期为60日历天。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3、受托方应具备水利或市政施工总承包资质三级及以上。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4、验收方式：通过长乐区自然资源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和规划局、永泰县林业局等相关部门的专业验收。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8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三、付款方式：委托方在合同生效后10个工作日内支付合同价款的30%，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通过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长乐区自然资源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和规划局、永泰县林业局等相关部门完工验收后支付至合同价款的97%，工程保修期为一年</w:t>
      </w:r>
      <w:r>
        <w:rPr>
          <w:rFonts w:hint="eastAsia" w:cs="仿宋" w:asciiTheme="minorEastAsia" w:hAnsiTheme="minorEastAsia" w:eastAsiaTheme="minorEastAsia"/>
          <w:bCs/>
          <w:sz w:val="24"/>
        </w:rPr>
        <w:t>，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保修期结束后支付剩余价款3%。</w:t>
      </w:r>
      <w:r>
        <w:rPr>
          <w:rFonts w:hint="eastAsia" w:cs="仿宋" w:asciiTheme="minorEastAsia" w:hAnsiTheme="minorEastAsia" w:eastAsiaTheme="minorEastAsia"/>
          <w:bCs/>
          <w:sz w:val="24"/>
        </w:rPr>
        <w:t>受托方申请付款时应提供相应金额的增值税专用发票。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四、联系方式：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1、联系人：翁晨冰；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2、联系电话：0591-87867621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3、传真： 0591—87888761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4、邮箱：1004431533@qq.com。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五、报价说明：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</w:rPr>
        <w:t>、本项目要求报价单位具备有效的独立法人资格。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</w:rPr>
        <w:t>、接受询价单位请结合国家相关收费标准，根据以上工作内容自主做出报价，其报价应包含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施工费、</w:t>
      </w:r>
      <w:r>
        <w:rPr>
          <w:rFonts w:hint="eastAsia" w:cs="仿宋" w:asciiTheme="minorEastAsia" w:hAnsiTheme="minorEastAsia" w:eastAsiaTheme="minorEastAsia"/>
          <w:bCs/>
          <w:sz w:val="24"/>
        </w:rPr>
        <w:t>单位管理费、利润、税费、技术咨询费、技术人员往返项目现场的交通费和差旅费、专家费、会务费、评审费等。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bCs/>
          <w:sz w:val="24"/>
        </w:rPr>
        <w:t>、</w:t>
      </w:r>
      <w:r>
        <w:rPr>
          <w:rFonts w:hint="eastAsia" w:cs="仿宋" w:asciiTheme="minorEastAsia" w:hAnsiTheme="minorEastAsia" w:eastAsiaTheme="minorEastAsia"/>
          <w:b/>
          <w:bCs/>
          <w:sz w:val="24"/>
        </w:rPr>
        <w:t>本项目最高限价为</w:t>
      </w:r>
      <w:r>
        <w:rPr>
          <w:rFonts w:hint="eastAsia" w:cs="仿宋" w:asciiTheme="minorEastAsia" w:hAnsiTheme="minorEastAsia" w:eastAsiaTheme="minorEastAsia"/>
          <w:b/>
          <w:bCs/>
          <w:color w:val="auto"/>
          <w:sz w:val="24"/>
          <w:lang w:val="en-US" w:eastAsia="zh-CN"/>
        </w:rPr>
        <w:t>23.0727</w:t>
      </w:r>
      <w:r>
        <w:rPr>
          <w:rFonts w:hint="eastAsia" w:cs="仿宋" w:asciiTheme="minorEastAsia" w:hAnsiTheme="minorEastAsia" w:eastAsiaTheme="minorEastAsia"/>
          <w:b/>
          <w:bCs/>
          <w:sz w:val="24"/>
          <w:lang w:val="en-US" w:eastAsia="zh-CN"/>
        </w:rPr>
        <w:t>万</w:t>
      </w:r>
      <w:r>
        <w:rPr>
          <w:rFonts w:hint="eastAsia" w:cs="仿宋" w:asciiTheme="minorEastAsia" w:hAnsiTheme="minorEastAsia" w:eastAsiaTheme="minorEastAsia"/>
          <w:b/>
          <w:bCs/>
          <w:sz w:val="24"/>
        </w:rPr>
        <w:t>元整，</w:t>
      </w:r>
      <w:r>
        <w:rPr>
          <w:rFonts w:hint="eastAsia" w:cs="仿宋" w:asciiTheme="minorEastAsia" w:hAnsiTheme="minorEastAsia" w:eastAsiaTheme="minorEastAsia"/>
          <w:b/>
          <w:bCs/>
          <w:sz w:val="24"/>
          <w:lang w:val="en-US" w:eastAsia="zh-CN"/>
        </w:rPr>
        <w:t>报价为包干价，</w:t>
      </w:r>
      <w:r>
        <w:rPr>
          <w:rFonts w:hint="eastAsia" w:cs="仿宋" w:asciiTheme="minorEastAsia" w:hAnsiTheme="minorEastAsia" w:eastAsiaTheme="minorEastAsia"/>
          <w:b/>
          <w:bCs/>
          <w:sz w:val="24"/>
        </w:rPr>
        <w:t>报价不得超过最高限价。</w:t>
      </w:r>
      <w:r>
        <w:rPr>
          <w:rFonts w:hint="eastAsia" w:cs="仿宋" w:asciiTheme="minorEastAsia" w:hAnsiTheme="minorEastAsia" w:eastAsiaTheme="minorEastAsia"/>
          <w:bCs/>
          <w:sz w:val="24"/>
        </w:rPr>
        <w:t>接受询价单位必须承诺能够配备足够的、经验丰富的相关专业技术人员，确保工作服务内容按期完成，并结合单位自身实力、本项目工作内容、风险特性等相关内容进行最优报价，接受询价单位一经选择确定为该项目服务单位，其报价将作为最终服务合同价，不再另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yellow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bCs/>
          <w:sz w:val="24"/>
        </w:rPr>
        <w:t>、报价文件按以下资料提交：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（1）</w:t>
      </w:r>
      <w:r>
        <w:rPr>
          <w:rFonts w:hint="eastAsia" w:ascii="宋体" w:hAnsi="宋体" w:cs="宋体"/>
          <w:sz w:val="24"/>
        </w:rPr>
        <w:t>福建省平潭及闽江口水资源配置（一闸三线）工程项目</w:t>
      </w:r>
      <w:r>
        <w:rPr>
          <w:rFonts w:hint="eastAsia" w:cs="仿宋" w:asciiTheme="minorEastAsia" w:hAnsiTheme="minorEastAsia"/>
          <w:bCs/>
          <w:sz w:val="24"/>
        </w:rPr>
        <w:t>报价承诺函及报价表</w:t>
      </w:r>
      <w:r>
        <w:rPr>
          <w:rFonts w:hint="eastAsia" w:ascii="华文宋体" w:hAnsi="华文宋体" w:eastAsia="华文宋体"/>
          <w:sz w:val="24"/>
        </w:rPr>
        <w:t>（附件一）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（2）项目负责人证件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（3）其他相关资料（营业执照、资质证书等）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福州水务平潭引水开发有限公司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cs="仿宋" w:asciiTheme="minorEastAsia" w:hAnsiTheme="minorEastAsia" w:eastAsiaTheme="minorEastAsia"/>
          <w:bCs/>
          <w:sz w:val="24"/>
        </w:rPr>
        <w:t>20</w:t>
      </w:r>
      <w:r>
        <w:rPr>
          <w:rFonts w:hint="eastAsia" w:cs="仿宋" w:asciiTheme="minorEastAsia" w:hAnsiTheme="minorEastAsia" w:eastAsiaTheme="minorEastAsia"/>
          <w:bCs/>
          <w:sz w:val="24"/>
        </w:rPr>
        <w:t>22年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11</w:t>
      </w:r>
      <w:r>
        <w:rPr>
          <w:rFonts w:hint="eastAsia" w:cs="仿宋" w:asciiTheme="minorEastAsia" w:hAnsiTheme="minorEastAsia" w:eastAsiaTheme="minorEastAsia"/>
          <w:bCs/>
          <w:sz w:val="24"/>
        </w:rPr>
        <w:t>月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24</w:t>
      </w:r>
      <w:r>
        <w:rPr>
          <w:rFonts w:hint="eastAsia" w:cs="仿宋" w:asciiTheme="minorEastAsia" w:hAnsiTheme="minorEastAsia" w:eastAsiaTheme="minorEastAsia"/>
          <w:bCs/>
          <w:sz w:val="24"/>
        </w:rPr>
        <w:t>日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福建省平潭及闽江口水资源配置工程</w:t>
      </w: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>大华岭勘探试验段复垦施工项目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报价承诺函及报</w:t>
      </w:r>
      <w:r>
        <w:rPr>
          <w:rFonts w:hint="eastAsia" w:ascii="黑体" w:hAnsi="宋体" w:eastAsia="黑体"/>
          <w:b/>
          <w:sz w:val="44"/>
          <w:szCs w:val="44"/>
        </w:rPr>
        <w:t>价表</w:t>
      </w:r>
    </w:p>
    <w:p>
      <w:pPr>
        <w:spacing w:line="360" w:lineRule="auto"/>
        <w:jc w:val="center"/>
        <w:rPr>
          <w:rFonts w:cs="仿宋" w:asciiTheme="minorEastAsia" w:hAnsiTheme="minorEastAsia" w:eastAsiaTheme="minorEastAsia"/>
          <w:bCs/>
          <w:sz w:val="24"/>
        </w:rPr>
      </w:pPr>
    </w:p>
    <w:p>
      <w:pPr>
        <w:rPr>
          <w:rFonts w:cs="仿宋" w:asciiTheme="minorEastAsia" w:hAnsiTheme="minorEastAsia" w:eastAsiaTheme="minorEastAsia"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福州水务平潭引水开发有限公司：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color w:val="auto"/>
          <w:sz w:val="32"/>
          <w:szCs w:val="32"/>
        </w:rPr>
        <w:t>我单位已理解贵单位的项目情况与要求，同意按要求对</w:t>
      </w: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福建省平潭及闽江口水资源配置工程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  <w:t>大华岭勘探试验段复垦施工项目</w:t>
      </w:r>
      <w:r>
        <w:rPr>
          <w:rFonts w:hint="eastAsia" w:cs="仿宋" w:asciiTheme="minorEastAsia" w:hAnsiTheme="minorEastAsia" w:eastAsiaTheme="minorEastAsia"/>
          <w:bCs/>
          <w:color w:val="auto"/>
          <w:sz w:val="32"/>
          <w:szCs w:val="32"/>
        </w:rPr>
        <w:t>进行报价，总报价为</w:t>
      </w:r>
      <w:r>
        <w:rPr>
          <w:rFonts w:hint="eastAsia" w:cs="仿宋" w:asciiTheme="minorEastAsia" w:hAnsiTheme="minorEastAsia" w:eastAsiaTheme="minorEastAsia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cs="仿宋" w:asciiTheme="minorEastAsia" w:hAnsiTheme="minorEastAsia" w:eastAsiaTheme="minorEastAsia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color w:val="auto"/>
          <w:sz w:val="32"/>
          <w:szCs w:val="32"/>
        </w:rPr>
        <w:t>元</w:t>
      </w: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，报价包含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lang w:eastAsia="zh-CN"/>
        </w:rPr>
        <w:t>工程施工费、</w:t>
      </w: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单位管理费、利润、税费、技术咨询费、技术人员往返项目现场的交通费和差旅费、专家费、会务费、评审费等，并承诺我单位所提供的所有资料均真实、合法，近两年内没有不良记录。</w:t>
      </w:r>
    </w:p>
    <w:p>
      <w:pPr>
        <w:spacing w:line="240" w:lineRule="exac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  </w:t>
      </w:r>
    </w:p>
    <w:p>
      <w:pPr>
        <w:spacing w:line="360" w:lineRule="auto"/>
        <w:jc w:val="right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jc w:val="left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jc w:val="left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jc w:val="lef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联系人：                          联系电话：</w:t>
      </w:r>
    </w:p>
    <w:p>
      <w:pPr>
        <w:spacing w:line="360" w:lineRule="auto"/>
        <w:jc w:val="lef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传  真：                          邮    箱：</w:t>
      </w:r>
    </w:p>
    <w:p>
      <w:pPr>
        <w:spacing w:line="360" w:lineRule="auto"/>
        <w:jc w:val="left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jc w:val="left"/>
        <w:rPr>
          <w:rFonts w:cs="仿宋" w:asciiTheme="minorEastAsia" w:hAnsiTheme="minorEastAsia" w:eastAsiaTheme="minorEastAsia"/>
          <w:bCs/>
          <w:sz w:val="24"/>
        </w:rPr>
      </w:pPr>
      <w:bookmarkStart w:id="0" w:name="_GoBack"/>
      <w:bookmarkEnd w:id="0"/>
    </w:p>
    <w:p>
      <w:pPr>
        <w:spacing w:line="360" w:lineRule="auto"/>
        <w:ind w:firstLine="720" w:firstLineChars="300"/>
        <w:jc w:val="left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ind w:right="480" w:firstLine="3960" w:firstLineChars="1650"/>
        <w:jc w:val="lef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报价承诺单位：（公章）</w:t>
      </w:r>
    </w:p>
    <w:p>
      <w:pPr>
        <w:spacing w:line="360" w:lineRule="auto"/>
        <w:ind w:right="480" w:firstLine="3960" w:firstLineChars="1650"/>
        <w:jc w:val="left"/>
        <w:rPr>
          <w:rFonts w:ascii="宋体" w:hAnsi="宋体" w:cs="宋体"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法 人 代 表：（签名）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8497A"/>
    <w:multiLevelType w:val="singleLevel"/>
    <w:tmpl w:val="F26849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jM4N2VlZDVlZWZlNGZlZDAyOGVhMzI5MjVlZWMifQ=="/>
  </w:docVars>
  <w:rsids>
    <w:rsidRoot w:val="009248A1"/>
    <w:rsid w:val="00007EE5"/>
    <w:rsid w:val="00012E34"/>
    <w:rsid w:val="00076425"/>
    <w:rsid w:val="00096DC7"/>
    <w:rsid w:val="000A12C0"/>
    <w:rsid w:val="000B6798"/>
    <w:rsid w:val="000C7887"/>
    <w:rsid w:val="000E7D56"/>
    <w:rsid w:val="000F32C9"/>
    <w:rsid w:val="000F7AC7"/>
    <w:rsid w:val="00102A6E"/>
    <w:rsid w:val="00114E54"/>
    <w:rsid w:val="00161F90"/>
    <w:rsid w:val="001C3721"/>
    <w:rsid w:val="001C59E2"/>
    <w:rsid w:val="001F0232"/>
    <w:rsid w:val="001F3D63"/>
    <w:rsid w:val="0024460E"/>
    <w:rsid w:val="00287CAB"/>
    <w:rsid w:val="002C135B"/>
    <w:rsid w:val="002C4017"/>
    <w:rsid w:val="002D344C"/>
    <w:rsid w:val="00316565"/>
    <w:rsid w:val="0032039E"/>
    <w:rsid w:val="00357AE5"/>
    <w:rsid w:val="00357F3D"/>
    <w:rsid w:val="00370DDD"/>
    <w:rsid w:val="00387F8B"/>
    <w:rsid w:val="0039795E"/>
    <w:rsid w:val="003D38F5"/>
    <w:rsid w:val="003E2D4D"/>
    <w:rsid w:val="00412453"/>
    <w:rsid w:val="00450BD6"/>
    <w:rsid w:val="004B3FF0"/>
    <w:rsid w:val="005204EA"/>
    <w:rsid w:val="00520DC7"/>
    <w:rsid w:val="00525272"/>
    <w:rsid w:val="00526C59"/>
    <w:rsid w:val="005916D6"/>
    <w:rsid w:val="005C2F16"/>
    <w:rsid w:val="005C761B"/>
    <w:rsid w:val="005D68A2"/>
    <w:rsid w:val="00614D69"/>
    <w:rsid w:val="006532B2"/>
    <w:rsid w:val="00677FB1"/>
    <w:rsid w:val="0068040F"/>
    <w:rsid w:val="006C6C1F"/>
    <w:rsid w:val="006E6BB6"/>
    <w:rsid w:val="006F6C58"/>
    <w:rsid w:val="006F7AF3"/>
    <w:rsid w:val="00704BB4"/>
    <w:rsid w:val="00730114"/>
    <w:rsid w:val="007378EA"/>
    <w:rsid w:val="00745617"/>
    <w:rsid w:val="0077047D"/>
    <w:rsid w:val="00775B3A"/>
    <w:rsid w:val="007824C5"/>
    <w:rsid w:val="007C242A"/>
    <w:rsid w:val="00814E7E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A25CD"/>
    <w:rsid w:val="009B2732"/>
    <w:rsid w:val="009D4675"/>
    <w:rsid w:val="00A02C3E"/>
    <w:rsid w:val="00A0600D"/>
    <w:rsid w:val="00A22B19"/>
    <w:rsid w:val="00A54523"/>
    <w:rsid w:val="00A909C7"/>
    <w:rsid w:val="00AA2CE0"/>
    <w:rsid w:val="00AB77F9"/>
    <w:rsid w:val="00B00D65"/>
    <w:rsid w:val="00B53536"/>
    <w:rsid w:val="00B53557"/>
    <w:rsid w:val="00B57C35"/>
    <w:rsid w:val="00B611BF"/>
    <w:rsid w:val="00B63850"/>
    <w:rsid w:val="00B839E6"/>
    <w:rsid w:val="00B86A06"/>
    <w:rsid w:val="00BA0E3A"/>
    <w:rsid w:val="00BB2888"/>
    <w:rsid w:val="00BC4AAD"/>
    <w:rsid w:val="00C04EF7"/>
    <w:rsid w:val="00C22188"/>
    <w:rsid w:val="00C60F87"/>
    <w:rsid w:val="00CA7DAE"/>
    <w:rsid w:val="00CB5C6B"/>
    <w:rsid w:val="00D0155D"/>
    <w:rsid w:val="00D06154"/>
    <w:rsid w:val="00D140F8"/>
    <w:rsid w:val="00D378BC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52D87"/>
    <w:rsid w:val="00F60CD1"/>
    <w:rsid w:val="00F73D27"/>
    <w:rsid w:val="00F83EE9"/>
    <w:rsid w:val="00FD56AF"/>
    <w:rsid w:val="034145CA"/>
    <w:rsid w:val="054B6CC3"/>
    <w:rsid w:val="06D37EA5"/>
    <w:rsid w:val="088308EA"/>
    <w:rsid w:val="0B304BB8"/>
    <w:rsid w:val="0CB55014"/>
    <w:rsid w:val="0D081CAE"/>
    <w:rsid w:val="11B62CEB"/>
    <w:rsid w:val="13207779"/>
    <w:rsid w:val="13780A59"/>
    <w:rsid w:val="1385026B"/>
    <w:rsid w:val="16D234CA"/>
    <w:rsid w:val="17752550"/>
    <w:rsid w:val="190869DD"/>
    <w:rsid w:val="1AF04373"/>
    <w:rsid w:val="1BD24C19"/>
    <w:rsid w:val="1CA62FCC"/>
    <w:rsid w:val="1D3F4A6C"/>
    <w:rsid w:val="1F5D3BC6"/>
    <w:rsid w:val="202B432F"/>
    <w:rsid w:val="204B3A8E"/>
    <w:rsid w:val="20B50300"/>
    <w:rsid w:val="23026551"/>
    <w:rsid w:val="23342975"/>
    <w:rsid w:val="236C5689"/>
    <w:rsid w:val="28D754C5"/>
    <w:rsid w:val="2907142C"/>
    <w:rsid w:val="29B30CFC"/>
    <w:rsid w:val="29C56B4E"/>
    <w:rsid w:val="2A183AEA"/>
    <w:rsid w:val="2C126FA0"/>
    <w:rsid w:val="2C9B424D"/>
    <w:rsid w:val="2DF301D1"/>
    <w:rsid w:val="2F4033C5"/>
    <w:rsid w:val="31B7500F"/>
    <w:rsid w:val="326912B1"/>
    <w:rsid w:val="350E4E26"/>
    <w:rsid w:val="382F1B84"/>
    <w:rsid w:val="39B565C7"/>
    <w:rsid w:val="39C7581F"/>
    <w:rsid w:val="3B851D83"/>
    <w:rsid w:val="419E4822"/>
    <w:rsid w:val="42A853B4"/>
    <w:rsid w:val="42C6464D"/>
    <w:rsid w:val="455735FF"/>
    <w:rsid w:val="46290A4B"/>
    <w:rsid w:val="47C61766"/>
    <w:rsid w:val="49F5532E"/>
    <w:rsid w:val="4EB827F1"/>
    <w:rsid w:val="51844935"/>
    <w:rsid w:val="528A30C5"/>
    <w:rsid w:val="55AC136D"/>
    <w:rsid w:val="562C2B4E"/>
    <w:rsid w:val="57CE1CE2"/>
    <w:rsid w:val="5C047D22"/>
    <w:rsid w:val="5CC03489"/>
    <w:rsid w:val="5D3819AB"/>
    <w:rsid w:val="600B05D5"/>
    <w:rsid w:val="63A772FA"/>
    <w:rsid w:val="64BC4F5E"/>
    <w:rsid w:val="6695072F"/>
    <w:rsid w:val="6759093F"/>
    <w:rsid w:val="6A512524"/>
    <w:rsid w:val="6B247164"/>
    <w:rsid w:val="6B781B64"/>
    <w:rsid w:val="6CA5610F"/>
    <w:rsid w:val="6E6A2E06"/>
    <w:rsid w:val="7021102D"/>
    <w:rsid w:val="71AE0A49"/>
    <w:rsid w:val="71BA5261"/>
    <w:rsid w:val="721B52D2"/>
    <w:rsid w:val="76250CC9"/>
    <w:rsid w:val="76825D9E"/>
    <w:rsid w:val="769E4528"/>
    <w:rsid w:val="77684679"/>
    <w:rsid w:val="7A1E68D7"/>
    <w:rsid w:val="7DFD4A6A"/>
    <w:rsid w:val="7F2E3940"/>
    <w:rsid w:val="7FE44D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link w:val="10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2 Char"/>
    <w:basedOn w:val="9"/>
    <w:link w:val="4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11">
    <w:name w:val="标题 4 Char"/>
    <w:basedOn w:val="9"/>
    <w:link w:val="2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2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fontstyle01"/>
    <w:basedOn w:val="9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317" w:lineRule="auto"/>
      <w:ind w:firstLine="340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50D8-384C-4CDD-B96F-94840B5228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1398</Words>
  <Characters>1609</Characters>
  <Lines>14</Lines>
  <Paragraphs>4</Paragraphs>
  <TotalTime>2</TotalTime>
  <ScaleCrop>false</ScaleCrop>
  <LinksUpToDate>false</LinksUpToDate>
  <CharactersWithSpaces>1738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2022-03-23T06:44:00Z</dcterms:created>
  <dc:creator>SYZ</dc:creator>
  <cp:lastModifiedBy>翁十八</cp:lastModifiedBy>
  <cp:lastPrinted>2021-12-21T03:31:00Z</cp:lastPrinted>
  <dcterms:modified xsi:type="dcterms:W3CDTF">2022-11-25T02:48:01Z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8028B04731144AF885993D83416A5797</vt:lpwstr>
  </property>
</Properties>
</file>