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p>
    <w:p>
      <w:pPr>
        <w:keepNext w:val="0"/>
        <w:keepLines w:val="0"/>
        <w:pageBreakBefore w:val="0"/>
        <w:kinsoku/>
        <w:overflowPunct/>
        <w:autoSpaceDE/>
        <w:autoSpaceDN/>
        <w:bidi w:val="0"/>
        <w:snapToGrid w:val="0"/>
        <w:spacing w:line="600" w:lineRule="exact"/>
        <w:jc w:val="center"/>
        <w:textAlignment w:val="auto"/>
        <w:outlineLvl w:val="1"/>
        <w:rPr>
          <w:rFonts w:hint="eastAsia" w:ascii="黑体" w:hAnsi="黑体" w:eastAsia="黑体" w:cs="黑体"/>
          <w:b/>
          <w:spacing w:val="-4"/>
          <w:sz w:val="44"/>
          <w:szCs w:val="44"/>
        </w:rPr>
      </w:pPr>
      <w:r>
        <w:rPr>
          <w:rFonts w:hint="eastAsia" w:ascii="黑体" w:hAnsi="黑体" w:eastAsia="黑体" w:cs="黑体"/>
          <w:i w:val="0"/>
          <w:caps w:val="0"/>
          <w:color w:val="000000"/>
          <w:spacing w:val="0"/>
          <w:sz w:val="44"/>
          <w:szCs w:val="44"/>
          <w:shd w:val="clear" w:color="auto" w:fill="FFFFFF"/>
          <w:lang w:val="en-US" w:eastAsia="zh-CN"/>
        </w:rPr>
        <w:t>福州市水务文化旅游有限公司浦下河水上运动项目公开招商评分办法</w:t>
      </w:r>
    </w:p>
    <w:p>
      <w:pPr>
        <w:keepNext w:val="0"/>
        <w:keepLines w:val="0"/>
        <w:pageBreakBefore w:val="0"/>
        <w:kinsoku/>
        <w:overflowPunct/>
        <w:autoSpaceDE/>
        <w:autoSpaceDN/>
        <w:bidi w:val="0"/>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w:t>
      </w:r>
      <w:r>
        <w:rPr>
          <w:rFonts w:hint="eastAsia" w:ascii="仿宋_GB2312" w:hAnsi="仿宋_GB2312" w:eastAsia="仿宋_GB2312" w:cs="仿宋_GB2312"/>
          <w:b/>
          <w:bCs/>
          <w:sz w:val="32"/>
          <w:szCs w:val="32"/>
          <w:lang w:val="en-US" w:eastAsia="zh-CN"/>
        </w:rPr>
        <w:t>分</w:t>
      </w:r>
      <w:r>
        <w:rPr>
          <w:rFonts w:hint="eastAsia" w:ascii="仿宋_GB2312" w:hAnsi="仿宋_GB2312" w:eastAsia="仿宋_GB2312" w:cs="仿宋_GB2312"/>
          <w:b/>
          <w:bCs/>
          <w:sz w:val="32"/>
          <w:szCs w:val="32"/>
        </w:rPr>
        <w:t>标准：</w:t>
      </w:r>
    </w:p>
    <w:p>
      <w:pPr>
        <w:keepNext w:val="0"/>
        <w:keepLines w:val="0"/>
        <w:pageBreakBefore w:val="0"/>
        <w:kinsoku/>
        <w:overflowPunct/>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工作将</w:t>
      </w:r>
      <w:r>
        <w:rPr>
          <w:rFonts w:hint="eastAsia" w:ascii="仿宋_GB2312" w:hAnsi="仿宋_GB2312" w:eastAsia="仿宋_GB2312" w:cs="仿宋_GB2312"/>
          <w:kern w:val="0"/>
          <w:sz w:val="32"/>
          <w:szCs w:val="32"/>
        </w:rPr>
        <w:t>按照客观、公正、审慎的原则，</w:t>
      </w:r>
      <w:r>
        <w:rPr>
          <w:rFonts w:hint="eastAsia" w:ascii="仿宋_GB2312" w:hAnsi="仿宋_GB2312" w:eastAsia="仿宋_GB2312" w:cs="仿宋_GB2312"/>
          <w:sz w:val="32"/>
          <w:szCs w:val="32"/>
          <w:lang w:val="en-US" w:eastAsia="zh-CN"/>
        </w:rPr>
        <w:t>评分</w:t>
      </w:r>
      <w:r>
        <w:rPr>
          <w:rFonts w:hint="eastAsia" w:ascii="仿宋_GB2312" w:hAnsi="仿宋_GB2312" w:eastAsia="仿宋_GB2312" w:cs="仿宋_GB2312"/>
          <w:sz w:val="32"/>
          <w:szCs w:val="32"/>
        </w:rPr>
        <w:t>小组将按照规定对</w:t>
      </w:r>
      <w:r>
        <w:rPr>
          <w:rFonts w:hint="eastAsia" w:ascii="仿宋_GB2312" w:hAnsi="仿宋_GB2312" w:eastAsia="仿宋_GB2312" w:cs="仿宋_GB2312"/>
          <w:sz w:val="32"/>
          <w:szCs w:val="32"/>
          <w:lang w:val="en-US" w:eastAsia="zh-CN"/>
        </w:rPr>
        <w:t>审查合格的报名方</w:t>
      </w:r>
      <w:r>
        <w:rPr>
          <w:rFonts w:hint="eastAsia" w:ascii="仿宋_GB2312" w:hAnsi="仿宋_GB2312" w:eastAsia="仿宋_GB2312" w:cs="仿宋_GB2312"/>
          <w:sz w:val="32"/>
          <w:szCs w:val="32"/>
        </w:rPr>
        <w:t>的</w:t>
      </w:r>
      <w:r>
        <w:rPr>
          <w:rFonts w:hint="eastAsia" w:ascii="仿宋" w:hAnsi="仿宋" w:eastAsia="仿宋" w:cs="仿宋"/>
          <w:i w:val="0"/>
          <w:caps w:val="0"/>
          <w:color w:val="000000"/>
          <w:spacing w:val="0"/>
          <w:sz w:val="32"/>
          <w:szCs w:val="32"/>
          <w:shd w:val="clear" w:color="auto" w:fill="FFFFFF"/>
          <w:lang w:val="en-US" w:eastAsia="zh-CN"/>
        </w:rPr>
        <w:t>招商合作方案</w:t>
      </w:r>
      <w:r>
        <w:rPr>
          <w:rFonts w:hint="eastAsia" w:ascii="仿宋_GB2312" w:hAnsi="仿宋_GB2312" w:eastAsia="仿宋_GB2312" w:cs="仿宋_GB2312"/>
          <w:sz w:val="32"/>
          <w:szCs w:val="32"/>
        </w:rPr>
        <w:t>采用相同的程序和标准进行评价和比较，对通过资格及符合性检查的合格</w:t>
      </w:r>
      <w:r>
        <w:rPr>
          <w:rFonts w:hint="eastAsia" w:ascii="仿宋_GB2312" w:hAnsi="仿宋_GB2312" w:eastAsia="仿宋_GB2312" w:cs="仿宋_GB2312"/>
          <w:sz w:val="32"/>
          <w:szCs w:val="32"/>
          <w:lang w:val="en-US" w:eastAsia="zh-CN"/>
        </w:rPr>
        <w:t>报名方</w:t>
      </w:r>
      <w:r>
        <w:rPr>
          <w:rFonts w:hint="eastAsia" w:ascii="仿宋_GB2312" w:hAnsi="仿宋_GB2312" w:eastAsia="仿宋_GB2312" w:cs="仿宋_GB2312"/>
          <w:sz w:val="32"/>
          <w:szCs w:val="32"/>
        </w:rPr>
        <w:t>根据以下标准和方法进行评估，评议过程严格按照</w:t>
      </w:r>
      <w:r>
        <w:rPr>
          <w:rFonts w:hint="eastAsia" w:ascii="仿宋_GB2312" w:hAnsi="仿宋_GB2312" w:eastAsia="仿宋_GB2312" w:cs="仿宋_GB2312"/>
          <w:sz w:val="32"/>
          <w:szCs w:val="32"/>
          <w:lang w:val="en-US" w:eastAsia="zh-CN"/>
        </w:rPr>
        <w:t>以下</w:t>
      </w:r>
      <w:r>
        <w:rPr>
          <w:rFonts w:hint="eastAsia" w:ascii="仿宋_GB2312" w:hAnsi="仿宋_GB2312" w:eastAsia="仿宋_GB2312" w:cs="仿宋_GB2312"/>
          <w:sz w:val="32"/>
          <w:szCs w:val="32"/>
        </w:rPr>
        <w:t>文件的要求和条件进行</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招商</w:t>
      </w:r>
      <w:r>
        <w:rPr>
          <w:rFonts w:hint="eastAsia" w:ascii="仿宋_GB2312" w:hAnsi="仿宋_GB2312" w:eastAsia="仿宋_GB2312" w:cs="仿宋_GB2312"/>
          <w:sz w:val="32"/>
          <w:szCs w:val="32"/>
        </w:rPr>
        <w:t>项目采用综合评分法</w:t>
      </w:r>
      <w:r>
        <w:rPr>
          <w:rFonts w:hint="eastAsia" w:ascii="仿宋_GB2312" w:hAnsi="仿宋_GB2312" w:eastAsia="仿宋_GB2312" w:cs="仿宋_GB2312"/>
          <w:sz w:val="32"/>
          <w:szCs w:val="32"/>
          <w:lang w:val="en-US" w:eastAsia="zh-CN"/>
        </w:rPr>
        <w:t>评选</w:t>
      </w:r>
      <w:r>
        <w:rPr>
          <w:rFonts w:hint="eastAsia" w:ascii="仿宋_GB2312" w:hAnsi="仿宋_GB2312" w:eastAsia="仿宋_GB2312" w:cs="仿宋_GB2312"/>
          <w:sz w:val="32"/>
          <w:szCs w:val="32"/>
        </w:rPr>
        <w:t>。</w:t>
      </w:r>
    </w:p>
    <w:p>
      <w:pPr>
        <w:keepNext w:val="0"/>
        <w:keepLines w:val="0"/>
        <w:pageBreakBefore w:val="0"/>
        <w:tabs>
          <w:tab w:val="left" w:pos="360"/>
        </w:tabs>
        <w:kinsoku/>
        <w:wordWrap w:val="0"/>
        <w:overflowPunct/>
        <w:topLinePunct/>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评分按价格、技术和商务三大部分进行，总分为100分(</w:t>
      </w:r>
      <w:r>
        <w:rPr>
          <w:rFonts w:hint="eastAsia" w:ascii="仿宋_GB2312" w:hAnsi="仿宋_GB2312" w:eastAsia="仿宋_GB2312" w:cs="仿宋_GB2312"/>
          <w:bCs/>
          <w:sz w:val="32"/>
          <w:szCs w:val="32"/>
        </w:rPr>
        <w:t>对技术、商务部分评分结果统计时，采用算术平均法计算各有效</w:t>
      </w:r>
      <w:r>
        <w:rPr>
          <w:rFonts w:hint="eastAsia" w:ascii="仿宋_GB2312" w:hAnsi="仿宋_GB2312" w:eastAsia="仿宋_GB2312" w:cs="仿宋_GB2312"/>
          <w:bCs/>
          <w:sz w:val="32"/>
          <w:szCs w:val="32"/>
          <w:lang w:eastAsia="zh-CN"/>
        </w:rPr>
        <w:t>报名方</w:t>
      </w:r>
      <w:r>
        <w:rPr>
          <w:rFonts w:hint="eastAsia" w:ascii="仿宋_GB2312" w:hAnsi="仿宋_GB2312" w:eastAsia="仿宋_GB2312" w:cs="仿宋_GB2312"/>
          <w:bCs/>
          <w:sz w:val="32"/>
          <w:szCs w:val="32"/>
        </w:rPr>
        <w:t>的技术、商务最终得分，计算分数时四舍五入保留小数点后的2位数</w:t>
      </w:r>
      <w:r>
        <w:rPr>
          <w:rFonts w:hint="eastAsia" w:ascii="仿宋_GB2312" w:hAnsi="仿宋_GB2312" w:eastAsia="仿宋_GB2312" w:cs="仿宋_GB2312"/>
          <w:sz w:val="32"/>
          <w:szCs w:val="32"/>
        </w:rPr>
        <w:t xml:space="preserve">)。 </w:t>
      </w:r>
    </w:p>
    <w:p>
      <w:pPr>
        <w:keepNext w:val="0"/>
        <w:keepLines w:val="0"/>
        <w:pageBreakBefore w:val="0"/>
        <w:kinsoku/>
        <w:overflowPunct/>
        <w:autoSpaceDE/>
        <w:autoSpaceDN/>
        <w:bidi w:val="0"/>
        <w:spacing w:line="600" w:lineRule="exact"/>
        <w:ind w:firstLine="948" w:firstLineChars="3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技术部分评分           满分</w:t>
      </w:r>
      <w:r>
        <w:rPr>
          <w:rFonts w:hint="eastAsia" w:ascii="仿宋_GB2312" w:hAnsi="仿宋_GB2312" w:eastAsia="仿宋_GB2312" w:cs="仿宋_GB2312"/>
          <w:spacing w:val="-2"/>
          <w:sz w:val="32"/>
          <w:szCs w:val="32"/>
          <w:lang w:val="en-US" w:eastAsia="zh-CN"/>
        </w:rPr>
        <w:t>45</w:t>
      </w:r>
      <w:r>
        <w:rPr>
          <w:rFonts w:hint="eastAsia" w:ascii="仿宋_GB2312" w:hAnsi="仿宋_GB2312" w:eastAsia="仿宋_GB2312" w:cs="仿宋_GB2312"/>
          <w:spacing w:val="-2"/>
          <w:sz w:val="32"/>
          <w:szCs w:val="32"/>
        </w:rPr>
        <w:t>分</w:t>
      </w:r>
    </w:p>
    <w:p>
      <w:pPr>
        <w:keepNext w:val="0"/>
        <w:keepLines w:val="0"/>
        <w:pageBreakBefore w:val="0"/>
        <w:kinsoku/>
        <w:overflowPunct/>
        <w:autoSpaceDE/>
        <w:autoSpaceDN/>
        <w:bidi w:val="0"/>
        <w:spacing w:line="600" w:lineRule="exact"/>
        <w:ind w:firstLine="948" w:firstLineChars="3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商务部分评分           满分</w:t>
      </w:r>
      <w:r>
        <w:rPr>
          <w:rFonts w:hint="eastAsia" w:ascii="仿宋_GB2312" w:hAnsi="仿宋_GB2312" w:eastAsia="仿宋_GB2312" w:cs="仿宋_GB2312"/>
          <w:spacing w:val="-2"/>
          <w:sz w:val="32"/>
          <w:szCs w:val="32"/>
          <w:lang w:val="en-US" w:eastAsia="zh-CN"/>
        </w:rPr>
        <w:t>25</w:t>
      </w:r>
      <w:r>
        <w:rPr>
          <w:rFonts w:hint="eastAsia" w:ascii="仿宋_GB2312" w:hAnsi="仿宋_GB2312" w:eastAsia="仿宋_GB2312" w:cs="仿宋_GB2312"/>
          <w:spacing w:val="-2"/>
          <w:sz w:val="32"/>
          <w:szCs w:val="32"/>
        </w:rPr>
        <w:t>分</w:t>
      </w:r>
    </w:p>
    <w:p>
      <w:pPr>
        <w:keepNext w:val="0"/>
        <w:keepLines w:val="0"/>
        <w:pageBreakBefore w:val="0"/>
        <w:kinsoku/>
        <w:overflowPunct/>
        <w:autoSpaceDE/>
        <w:autoSpaceDN/>
        <w:bidi w:val="0"/>
        <w:spacing w:line="600" w:lineRule="exact"/>
        <w:ind w:firstLine="948" w:firstLineChars="3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报价部分评分           满分</w:t>
      </w:r>
      <w:r>
        <w:rPr>
          <w:rFonts w:hint="eastAsia" w:ascii="仿宋_GB2312" w:hAnsi="仿宋_GB2312" w:eastAsia="仿宋_GB2312" w:cs="仿宋_GB2312"/>
          <w:spacing w:val="-2"/>
          <w:sz w:val="32"/>
          <w:szCs w:val="32"/>
          <w:lang w:val="en-US" w:eastAsia="zh-CN"/>
        </w:rPr>
        <w:t>30</w:t>
      </w:r>
      <w:r>
        <w:rPr>
          <w:rFonts w:hint="eastAsia" w:ascii="仿宋_GB2312" w:hAnsi="仿宋_GB2312" w:eastAsia="仿宋_GB2312" w:cs="仿宋_GB2312"/>
          <w:spacing w:val="-2"/>
          <w:sz w:val="32"/>
          <w:szCs w:val="32"/>
        </w:rPr>
        <w:t>分</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技术部分得分（满分45分）</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报名方</w:t>
      </w:r>
      <w:r>
        <w:rPr>
          <w:rFonts w:hint="eastAsia" w:ascii="仿宋_GB2312" w:hAnsi="仿宋_GB2312" w:eastAsia="仿宋_GB2312" w:cs="仿宋_GB2312"/>
          <w:sz w:val="32"/>
          <w:szCs w:val="32"/>
        </w:rPr>
        <w:t>应当完全响应并承诺</w:t>
      </w:r>
      <w:r>
        <w:rPr>
          <w:rFonts w:hint="eastAsia" w:ascii="仿宋_GB2312" w:hAnsi="仿宋_GB2312" w:eastAsia="仿宋_GB2312" w:cs="仿宋_GB2312"/>
          <w:sz w:val="32"/>
          <w:szCs w:val="32"/>
          <w:lang w:val="en-US" w:eastAsia="zh-CN"/>
        </w:rPr>
        <w:t>招商公告</w:t>
      </w:r>
      <w:r>
        <w:rPr>
          <w:rFonts w:hint="eastAsia" w:ascii="仿宋_GB2312" w:hAnsi="仿宋_GB2312" w:eastAsia="仿宋_GB2312" w:cs="仿宋_GB2312"/>
          <w:sz w:val="32"/>
          <w:szCs w:val="32"/>
        </w:rPr>
        <w:t>中要求，</w:t>
      </w:r>
      <w:r>
        <w:rPr>
          <w:rFonts w:hint="eastAsia" w:ascii="仿宋_GB2312" w:hAnsi="仿宋_GB2312" w:eastAsia="仿宋_GB2312" w:cs="仿宋_GB2312"/>
          <w:kern w:val="0"/>
          <w:sz w:val="32"/>
          <w:szCs w:val="32"/>
        </w:rPr>
        <w:t xml:space="preserve">如有偏离，按无效处理。 </w:t>
      </w:r>
    </w:p>
    <w:tbl>
      <w:tblPr>
        <w:tblStyle w:val="9"/>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183"/>
        <w:gridCol w:w="1056"/>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01" w:hRule="atLeast"/>
          <w:tblHeader/>
          <w:jc w:val="center"/>
        </w:trPr>
        <w:tc>
          <w:tcPr>
            <w:tcW w:w="687" w:type="pct"/>
            <w:noWrap w:val="0"/>
            <w:vAlign w:val="center"/>
          </w:tcPr>
          <w:p>
            <w:pPr>
              <w:keepNext w:val="0"/>
              <w:keepLines w:val="0"/>
              <w:pageBreakBefore w:val="0"/>
              <w:kinsoku/>
              <w:overflowPunct/>
              <w:autoSpaceDE/>
              <w:autoSpaceDN/>
              <w:bidi w:val="0"/>
              <w:spacing w:line="60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w:t>
            </w:r>
          </w:p>
        </w:tc>
        <w:tc>
          <w:tcPr>
            <w:tcW w:w="613" w:type="pct"/>
            <w:noWrap w:val="0"/>
            <w:vAlign w:val="center"/>
          </w:tcPr>
          <w:p>
            <w:pPr>
              <w:keepNext w:val="0"/>
              <w:keepLines w:val="0"/>
              <w:pageBreakBefore w:val="0"/>
              <w:kinsoku/>
              <w:overflowPunct/>
              <w:autoSpaceDE/>
              <w:autoSpaceDN/>
              <w:bidi w:val="0"/>
              <w:spacing w:line="60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评标分值</w:t>
            </w:r>
          </w:p>
        </w:tc>
        <w:tc>
          <w:tcPr>
            <w:tcW w:w="3699" w:type="pct"/>
            <w:noWrap w:val="0"/>
            <w:vAlign w:val="center"/>
          </w:tcPr>
          <w:p>
            <w:pPr>
              <w:keepNext w:val="0"/>
              <w:keepLines w:val="0"/>
              <w:pageBreakBefore w:val="0"/>
              <w:kinsoku/>
              <w:overflowPunct/>
              <w:autoSpaceDE/>
              <w:autoSpaceDN/>
              <w:bidi w:val="0"/>
              <w:spacing w:line="60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评分细则描述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66" w:hRule="atLeast"/>
          <w:tblHeader/>
          <w:jc w:val="center"/>
        </w:trPr>
        <w:tc>
          <w:tcPr>
            <w:tcW w:w="687" w:type="pc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A1：</w:t>
            </w:r>
            <w:r>
              <w:rPr>
                <w:rFonts w:hint="eastAsia" w:ascii="仿宋_GB2312" w:hAnsi="仿宋_GB2312" w:eastAsia="仿宋_GB2312" w:cs="仿宋_GB2312"/>
                <w:color w:val="auto"/>
                <w:sz w:val="32"/>
                <w:szCs w:val="32"/>
                <w:highlight w:val="none"/>
                <w:lang w:eastAsia="zh-CN"/>
              </w:rPr>
              <w:t>明确总体思路</w:t>
            </w:r>
          </w:p>
        </w:tc>
        <w:tc>
          <w:tcPr>
            <w:tcW w:w="613" w:type="pct"/>
            <w:noWrap w:val="0"/>
            <w:vAlign w:val="center"/>
          </w:tcPr>
          <w:p>
            <w:pPr>
              <w:keepNext w:val="0"/>
              <w:keepLines w:val="0"/>
              <w:pageBreakBefore w:val="0"/>
              <w:kinsoku/>
              <w:overflowPunct/>
              <w:autoSpaceDE/>
              <w:autoSpaceDN/>
              <w:bidi w:val="0"/>
              <w:snapToGrid w:val="0"/>
              <w:spacing w:line="60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5分</w:t>
            </w:r>
          </w:p>
        </w:tc>
        <w:tc>
          <w:tcPr>
            <w:tcW w:w="3699" w:type="pct"/>
            <w:noWrap w:val="0"/>
            <w:vAlign w:val="top"/>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lang w:val="en-US" w:eastAsia="zh-CN"/>
              </w:rPr>
              <w:t>报名方</w:t>
            </w:r>
            <w:r>
              <w:rPr>
                <w:rFonts w:hint="eastAsia" w:ascii="仿宋_GB2312" w:hAnsi="仿宋_GB2312" w:eastAsia="仿宋_GB2312" w:cs="仿宋_GB2312"/>
                <w:color w:val="auto"/>
                <w:sz w:val="32"/>
                <w:szCs w:val="32"/>
                <w:highlight w:val="none"/>
                <w:lang w:eastAsia="zh-CN"/>
              </w:rPr>
              <w:t>针对本项目，</w:t>
            </w:r>
            <w:r>
              <w:rPr>
                <w:rFonts w:hint="eastAsia" w:ascii="仿宋_GB2312" w:hAnsi="仿宋_GB2312" w:eastAsia="仿宋_GB2312" w:cs="仿宋_GB2312"/>
                <w:color w:val="auto"/>
                <w:sz w:val="32"/>
                <w:szCs w:val="32"/>
                <w:highlight w:val="none"/>
                <w:lang w:val="en-US" w:eastAsia="zh-CN"/>
              </w:rPr>
              <w:t>结合南台岛会展片区的</w:t>
            </w:r>
            <w:r>
              <w:rPr>
                <w:rFonts w:hint="eastAsia" w:ascii="仿宋_GB2312" w:hAnsi="仿宋_GB2312" w:eastAsia="仿宋_GB2312" w:cs="仿宋_GB2312"/>
                <w:color w:val="auto"/>
                <w:sz w:val="32"/>
                <w:szCs w:val="32"/>
                <w:highlight w:val="none"/>
                <w:lang w:eastAsia="zh-CN"/>
              </w:rPr>
              <w:t>资源特色、规划等分析，清晰地提出项目发展目标、发展战略和实施任务，确定本项目总体定位、项目布局与联动策略，可行性强的得</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分，可行性一般的得</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分，可行性较差的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分，未提供的不得分。（满分</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66" w:hRule="atLeast"/>
          <w:tblHeader/>
          <w:jc w:val="center"/>
        </w:trPr>
        <w:tc>
          <w:tcPr>
            <w:tcW w:w="687" w:type="pc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A2:</w:t>
            </w:r>
            <w:r>
              <w:rPr>
                <w:rFonts w:hint="eastAsia" w:ascii="仿宋_GB2312" w:hAnsi="仿宋_GB2312" w:eastAsia="仿宋_GB2312" w:cs="仿宋_GB2312"/>
                <w:color w:val="auto"/>
                <w:sz w:val="32"/>
                <w:szCs w:val="32"/>
                <w:highlight w:val="none"/>
                <w:lang w:eastAsia="zh-CN"/>
              </w:rPr>
              <w:t>策划优质产品</w:t>
            </w:r>
          </w:p>
        </w:tc>
        <w:tc>
          <w:tcPr>
            <w:tcW w:w="613" w:type="pct"/>
            <w:noWrap w:val="0"/>
            <w:vAlign w:val="center"/>
          </w:tcPr>
          <w:p>
            <w:pPr>
              <w:keepNext w:val="0"/>
              <w:keepLines w:val="0"/>
              <w:pageBreakBefore w:val="0"/>
              <w:kinsoku/>
              <w:overflowPunct/>
              <w:autoSpaceDE/>
              <w:autoSpaceDN/>
              <w:bidi w:val="0"/>
              <w:snapToGrid w:val="0"/>
              <w:spacing w:line="60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8分</w:t>
            </w:r>
          </w:p>
        </w:tc>
        <w:tc>
          <w:tcPr>
            <w:tcW w:w="3699" w:type="pct"/>
            <w:noWrap w:val="0"/>
            <w:vAlign w:val="top"/>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借鉴国内、</w:t>
            </w:r>
            <w:r>
              <w:rPr>
                <w:rFonts w:hint="eastAsia" w:ascii="仿宋_GB2312" w:hAnsi="仿宋_GB2312" w:eastAsia="仿宋_GB2312" w:cs="仿宋_GB2312"/>
                <w:color w:val="auto"/>
                <w:sz w:val="32"/>
                <w:szCs w:val="32"/>
                <w:highlight w:val="none"/>
                <w:lang w:val="en-US" w:eastAsia="zh-CN"/>
              </w:rPr>
              <w:t>以往经营</w:t>
            </w:r>
            <w:r>
              <w:rPr>
                <w:rFonts w:hint="eastAsia" w:ascii="仿宋_GB2312" w:hAnsi="仿宋_GB2312" w:eastAsia="仿宋_GB2312" w:cs="仿宋_GB2312"/>
                <w:color w:val="auto"/>
                <w:sz w:val="32"/>
                <w:szCs w:val="32"/>
                <w:highlight w:val="none"/>
                <w:lang w:eastAsia="zh-CN"/>
              </w:rPr>
              <w:t>成功案例，精准定位项目特色，对策划项目进行分级、分类规划，策划具有市场吸引力的</w:t>
            </w:r>
            <w:r>
              <w:rPr>
                <w:rFonts w:hint="eastAsia" w:ascii="仿宋_GB2312" w:hAnsi="仿宋_GB2312" w:eastAsia="仿宋_GB2312" w:cs="仿宋_GB2312"/>
                <w:color w:val="auto"/>
                <w:sz w:val="32"/>
                <w:szCs w:val="32"/>
                <w:highlight w:val="none"/>
                <w:lang w:val="en-US" w:eastAsia="zh-CN"/>
              </w:rPr>
              <w:t>水上运动</w:t>
            </w:r>
            <w:r>
              <w:rPr>
                <w:rFonts w:hint="eastAsia" w:ascii="仿宋_GB2312" w:hAnsi="仿宋_GB2312" w:eastAsia="仿宋_GB2312" w:cs="仿宋_GB2312"/>
                <w:color w:val="auto"/>
                <w:sz w:val="32"/>
                <w:szCs w:val="32"/>
                <w:highlight w:val="none"/>
                <w:lang w:eastAsia="zh-CN"/>
              </w:rPr>
              <w:t>产品，</w:t>
            </w:r>
            <w:r>
              <w:rPr>
                <w:rFonts w:hint="eastAsia" w:ascii="仿宋_GB2312" w:hAnsi="仿宋_GB2312" w:eastAsia="仿宋_GB2312" w:cs="仿宋_GB2312"/>
                <w:color w:val="auto"/>
                <w:sz w:val="32"/>
                <w:szCs w:val="32"/>
                <w:highlight w:val="none"/>
                <w:lang w:val="en-US" w:eastAsia="zh-CN"/>
              </w:rPr>
              <w:t>创新优质业态项目和精品爆款项目，与运营衔接，项目可操作，</w:t>
            </w:r>
            <w:r>
              <w:rPr>
                <w:rFonts w:hint="eastAsia" w:ascii="仿宋_GB2312" w:hAnsi="仿宋_GB2312" w:eastAsia="仿宋_GB2312" w:cs="仿宋_GB2312"/>
                <w:color w:val="auto"/>
                <w:sz w:val="32"/>
                <w:szCs w:val="32"/>
                <w:highlight w:val="none"/>
                <w:lang w:eastAsia="zh-CN"/>
              </w:rPr>
              <w:t>并提出相应的开发模式</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目标科学合理，方案完整、内容丰富合理得</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分；目标科学合理，方案较完整、内容较合理得</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分；方案不完整、内容一般得</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分，未提供不得分。（满分</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66" w:hRule="atLeast"/>
          <w:tblHeader/>
          <w:jc w:val="center"/>
        </w:trPr>
        <w:tc>
          <w:tcPr>
            <w:tcW w:w="687"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应急处理</w:t>
            </w:r>
          </w:p>
        </w:tc>
        <w:tc>
          <w:tcPr>
            <w:tcW w:w="613" w:type="pct"/>
            <w:noWrap w:val="0"/>
            <w:vAlign w:val="center"/>
          </w:tcPr>
          <w:p>
            <w:pPr>
              <w:keepNext w:val="0"/>
              <w:keepLines w:val="0"/>
              <w:pageBreakBefore w:val="0"/>
              <w:kinsoku/>
              <w:overflowPunct/>
              <w:autoSpaceDE/>
              <w:autoSpaceDN/>
              <w:bidi w:val="0"/>
              <w:snapToGrid w:val="0"/>
              <w:spacing w:line="60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分</w:t>
            </w:r>
          </w:p>
        </w:tc>
        <w:tc>
          <w:tcPr>
            <w:tcW w:w="3699" w:type="pc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根据报名方针对</w:t>
            </w: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sz w:val="32"/>
                <w:szCs w:val="32"/>
                <w:highlight w:val="none"/>
                <w:lang w:eastAsia="zh-CN"/>
              </w:rPr>
              <w:t>所投项目包建立突发事件反应预案（</w:t>
            </w:r>
            <w:r>
              <w:rPr>
                <w:rFonts w:hint="eastAsia" w:ascii="仿宋_GB2312" w:hAnsi="仿宋_GB2312" w:eastAsia="仿宋_GB2312" w:cs="仿宋_GB2312"/>
                <w:color w:val="auto"/>
                <w:sz w:val="32"/>
                <w:szCs w:val="32"/>
                <w:highlight w:val="none"/>
                <w:lang w:val="en-US" w:eastAsia="zh-CN"/>
              </w:rPr>
              <w:t>包括人力配备、设备配置、预案响应速度等</w:t>
            </w:r>
            <w:r>
              <w:rPr>
                <w:rFonts w:hint="eastAsia" w:ascii="仿宋_GB2312" w:hAnsi="仿宋_GB2312" w:eastAsia="仿宋_GB2312" w:cs="仿宋_GB2312"/>
                <w:color w:val="auto"/>
                <w:sz w:val="32"/>
                <w:szCs w:val="32"/>
                <w:highlight w:val="none"/>
                <w:lang w:eastAsia="zh-CN"/>
              </w:rPr>
              <w:t>），以便在突发事件发生时，能第一时间</w:t>
            </w:r>
            <w:r>
              <w:rPr>
                <w:rFonts w:hint="eastAsia" w:ascii="仿宋_GB2312" w:hAnsi="仿宋_GB2312" w:eastAsia="仿宋_GB2312" w:cs="仿宋_GB2312"/>
                <w:color w:val="auto"/>
                <w:sz w:val="32"/>
                <w:szCs w:val="32"/>
                <w:highlight w:val="none"/>
                <w:lang w:val="en-US" w:eastAsia="zh-CN"/>
              </w:rPr>
              <w:t>处理解决</w:t>
            </w:r>
            <w:r>
              <w:rPr>
                <w:rFonts w:hint="eastAsia" w:ascii="仿宋_GB2312" w:hAnsi="仿宋_GB2312" w:eastAsia="仿宋_GB2312" w:cs="仿宋_GB2312"/>
                <w:color w:val="auto"/>
                <w:sz w:val="32"/>
                <w:szCs w:val="32"/>
                <w:highlight w:val="none"/>
                <w:lang w:eastAsia="zh-CN"/>
              </w:rPr>
              <w:t>，并井然有序地处理突发事件，可行性强的得</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分，可行性一般的得</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分，可行性较差的得</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分，未提供的不得分。</w:t>
            </w:r>
            <w:r>
              <w:rPr>
                <w:rFonts w:hint="eastAsia" w:ascii="仿宋_GB2312" w:hAnsi="仿宋_GB2312" w:eastAsia="仿宋_GB2312" w:cs="仿宋_GB2312"/>
                <w:color w:val="auto"/>
                <w:sz w:val="32"/>
                <w:szCs w:val="32"/>
                <w:highlight w:val="none"/>
                <w:lang w:val="en-US" w:eastAsia="zh-CN"/>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22" w:hRule="atLeast"/>
          <w:tblHeader/>
          <w:jc w:val="center"/>
        </w:trPr>
        <w:tc>
          <w:tcPr>
            <w:tcW w:w="687"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kern w:val="0"/>
                <w:sz w:val="32"/>
                <w:szCs w:val="32"/>
                <w:highlight w:val="none"/>
                <w:lang w:val="en-US" w:eastAsia="zh-CN"/>
              </w:rPr>
              <w:t>4：营业期间</w:t>
            </w:r>
            <w:r>
              <w:rPr>
                <w:rFonts w:hint="eastAsia" w:ascii="仿宋_GB2312" w:hAnsi="仿宋_GB2312" w:eastAsia="仿宋_GB2312" w:cs="仿宋_GB2312"/>
                <w:color w:val="auto"/>
                <w:kern w:val="0"/>
                <w:sz w:val="32"/>
                <w:szCs w:val="32"/>
                <w:highlight w:val="none"/>
              </w:rPr>
              <w:t>活动策划方案</w:t>
            </w:r>
          </w:p>
        </w:tc>
        <w:tc>
          <w:tcPr>
            <w:tcW w:w="613" w:type="pct"/>
            <w:noWrap w:val="0"/>
            <w:vAlign w:val="center"/>
          </w:tcPr>
          <w:p>
            <w:pPr>
              <w:keepNext w:val="0"/>
              <w:keepLines w:val="0"/>
              <w:pageBreakBefore w:val="0"/>
              <w:widowControl/>
              <w:kinsoku/>
              <w:overflowPunct/>
              <w:autoSpaceDE/>
              <w:autoSpaceDN/>
              <w:bidi w:val="0"/>
              <w:snapToGrid w:val="0"/>
              <w:spacing w:line="60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5分</w:t>
            </w:r>
          </w:p>
        </w:tc>
        <w:tc>
          <w:tcPr>
            <w:tcW w:w="3699" w:type="pc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根据报名方</w:t>
            </w:r>
            <w:r>
              <w:rPr>
                <w:rFonts w:hint="eastAsia" w:ascii="仿宋_GB2312" w:hAnsi="仿宋_GB2312" w:eastAsia="仿宋_GB2312" w:cs="仿宋_GB2312"/>
                <w:color w:val="auto"/>
                <w:sz w:val="32"/>
                <w:szCs w:val="32"/>
                <w:highlight w:val="none"/>
                <w:lang w:val="en-US" w:eastAsia="zh-CN"/>
              </w:rPr>
              <w:t>针对本项目</w:t>
            </w:r>
            <w:r>
              <w:rPr>
                <w:rFonts w:hint="eastAsia" w:ascii="仿宋_GB2312" w:hAnsi="仿宋_GB2312" w:eastAsia="仿宋_GB2312" w:cs="仿宋_GB2312"/>
                <w:color w:val="auto"/>
                <w:sz w:val="32"/>
                <w:szCs w:val="32"/>
                <w:highlight w:val="none"/>
                <w:lang w:eastAsia="zh-CN"/>
              </w:rPr>
              <w:t>营业期间</w:t>
            </w:r>
            <w:r>
              <w:rPr>
                <w:rFonts w:hint="eastAsia" w:ascii="仿宋_GB2312" w:hAnsi="仿宋_GB2312" w:eastAsia="仿宋_GB2312" w:cs="仿宋_GB2312"/>
                <w:color w:val="auto"/>
                <w:sz w:val="32"/>
                <w:szCs w:val="32"/>
                <w:highlight w:val="none"/>
                <w:lang w:val="en-US" w:eastAsia="zh-CN"/>
              </w:rPr>
              <w:t>所制定的现场</w:t>
            </w:r>
            <w:r>
              <w:rPr>
                <w:rFonts w:hint="eastAsia" w:ascii="仿宋_GB2312" w:hAnsi="仿宋_GB2312" w:eastAsia="仿宋_GB2312" w:cs="仿宋_GB2312"/>
                <w:color w:val="auto"/>
                <w:sz w:val="32"/>
                <w:szCs w:val="32"/>
                <w:highlight w:val="none"/>
                <w:lang w:eastAsia="zh-CN"/>
              </w:rPr>
              <w:t>活动策划、组织和实施方案，可行性强的得</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分，可行性一般的得</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分，可行性较差的得</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分，未提供的不得分。（满分</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7" w:hRule="atLeast"/>
          <w:tblHeader/>
          <w:jc w:val="center"/>
        </w:trPr>
        <w:tc>
          <w:tcPr>
            <w:tcW w:w="687"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kern w:val="0"/>
                <w:sz w:val="32"/>
                <w:szCs w:val="32"/>
                <w:highlight w:val="none"/>
                <w:lang w:val="en-US" w:eastAsia="zh-CN"/>
              </w:rPr>
              <w:t>5：运营安排情况</w:t>
            </w:r>
          </w:p>
        </w:tc>
        <w:tc>
          <w:tcPr>
            <w:tcW w:w="613" w:type="pct"/>
            <w:noWrap w:val="0"/>
            <w:vAlign w:val="center"/>
          </w:tcPr>
          <w:p>
            <w:pPr>
              <w:keepNext w:val="0"/>
              <w:keepLines w:val="0"/>
              <w:pageBreakBefore w:val="0"/>
              <w:widowControl/>
              <w:kinsoku/>
              <w:overflowPunct/>
              <w:autoSpaceDE/>
              <w:autoSpaceDN/>
              <w:bidi w:val="0"/>
              <w:snapToGrid w:val="0"/>
              <w:spacing w:line="60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5分</w:t>
            </w:r>
          </w:p>
        </w:tc>
        <w:tc>
          <w:tcPr>
            <w:tcW w:w="3699" w:type="pc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根据报名方针对本项目提供的正式经营时间安排情况（包括项目设施设备进场时间、正式营业时间等），根据现场实际情况安排，以2023年5月1日正式运营为时间节点，每提前1天得1分，最高得5分，</w:t>
            </w:r>
            <w:r>
              <w:rPr>
                <w:rFonts w:hint="eastAsia" w:ascii="仿宋_GB2312" w:hAnsi="仿宋_GB2312" w:eastAsia="仿宋_GB2312" w:cs="仿宋_GB2312"/>
                <w:color w:val="auto"/>
                <w:sz w:val="32"/>
                <w:szCs w:val="32"/>
                <w:highlight w:val="none"/>
                <w:lang w:eastAsia="zh-CN"/>
              </w:rPr>
              <w:t>未提供的不得分。（满分</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3" w:hRule="atLeast"/>
          <w:tblHeader/>
          <w:jc w:val="center"/>
        </w:trPr>
        <w:tc>
          <w:tcPr>
            <w:tcW w:w="687" w:type="pc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kern w:val="0"/>
                <w:sz w:val="32"/>
                <w:szCs w:val="32"/>
                <w:highlight w:val="none"/>
                <w:lang w:val="en-US" w:eastAsia="zh-CN"/>
              </w:rPr>
              <w:t>6：运营环境卫生管理方案</w:t>
            </w:r>
          </w:p>
        </w:tc>
        <w:tc>
          <w:tcPr>
            <w:tcW w:w="613" w:type="pct"/>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2分</w:t>
            </w:r>
          </w:p>
        </w:tc>
        <w:tc>
          <w:tcPr>
            <w:tcW w:w="3699" w:type="pc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根据报名方针对本项的运营环境卫生管理方案（含运营码头及水域），</w:t>
            </w:r>
            <w:r>
              <w:rPr>
                <w:rFonts w:hint="eastAsia" w:ascii="仿宋_GB2312" w:hAnsi="仿宋_GB2312" w:eastAsia="仿宋_GB2312" w:cs="仿宋_GB2312"/>
                <w:color w:val="auto"/>
                <w:sz w:val="32"/>
                <w:szCs w:val="32"/>
                <w:highlight w:val="none"/>
                <w:lang w:eastAsia="zh-CN"/>
              </w:rPr>
              <w:t>可行性强的得</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分，可行性一般的得</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分，可行性较差的得0.</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分，未提供的不得分。（满分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3" w:hRule="atLeast"/>
          <w:tblHeader/>
          <w:jc w:val="center"/>
        </w:trPr>
        <w:tc>
          <w:tcPr>
            <w:tcW w:w="687" w:type="pc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kern w:val="0"/>
                <w:sz w:val="32"/>
                <w:szCs w:val="32"/>
                <w:highlight w:val="none"/>
                <w:lang w:val="en-US" w:eastAsia="zh-CN"/>
              </w:rPr>
              <w:t>7：场地基础设施设备维护、运营区域环境管养方案</w:t>
            </w:r>
          </w:p>
        </w:tc>
        <w:tc>
          <w:tcPr>
            <w:tcW w:w="613" w:type="pct"/>
            <w:noWrap w:val="0"/>
            <w:vAlign w:val="center"/>
          </w:tcPr>
          <w:p>
            <w:pPr>
              <w:keepNext w:val="0"/>
              <w:keepLines w:val="0"/>
              <w:pageBreakBefore w:val="0"/>
              <w:kinsoku/>
              <w:overflowPunct/>
              <w:autoSpaceDE/>
              <w:autoSpaceDN/>
              <w:bidi w:val="0"/>
              <w:snapToGrid w:val="0"/>
              <w:spacing w:line="60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5分</w:t>
            </w:r>
          </w:p>
        </w:tc>
        <w:tc>
          <w:tcPr>
            <w:tcW w:w="3699" w:type="pc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根据报名方针对本项目场地基础设施设备维护、</w:t>
            </w:r>
            <w:r>
              <w:rPr>
                <w:rFonts w:hint="eastAsia" w:ascii="仿宋_GB2312" w:hAnsi="仿宋_GB2312" w:eastAsia="仿宋_GB2312" w:cs="仿宋_GB2312"/>
                <w:color w:val="auto"/>
                <w:kern w:val="0"/>
                <w:sz w:val="32"/>
                <w:szCs w:val="32"/>
                <w:highlight w:val="none"/>
                <w:lang w:val="en-US" w:eastAsia="zh-CN"/>
              </w:rPr>
              <w:t>运营区域环境管养</w:t>
            </w:r>
            <w:r>
              <w:rPr>
                <w:rFonts w:hint="eastAsia" w:ascii="仿宋_GB2312" w:hAnsi="仿宋_GB2312" w:eastAsia="仿宋_GB2312" w:cs="仿宋_GB2312"/>
                <w:color w:val="auto"/>
                <w:sz w:val="32"/>
                <w:szCs w:val="32"/>
                <w:highlight w:val="none"/>
                <w:lang w:val="en-US" w:eastAsia="zh-CN"/>
              </w:rPr>
              <w:t>方案（</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包括水上设施设备采购、安全设施、安保、监控、运营内的绿化、码头、码头平台、码头入口门楼及码头管理用房等设施设备的日常维护、保养等</w:t>
            </w:r>
            <w:r>
              <w:rPr>
                <w:rFonts w:hint="eastAsia" w:ascii="仿宋_GB2312" w:hAnsi="仿宋_GB2312" w:eastAsia="仿宋_GB2312" w:cs="仿宋_GB2312"/>
                <w:color w:val="auto"/>
                <w:sz w:val="32"/>
                <w:szCs w:val="32"/>
                <w:highlight w:val="none"/>
                <w:lang w:val="en-US" w:eastAsia="zh-CN"/>
              </w:rPr>
              <w:t>维护过程中存在的难题、解决方案等），可行性强的得5分，可行性一般的得3分，可行性较差的得1分，未提供的不得分。（满分5分）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31" w:hRule="atLeast"/>
          <w:tblHeader/>
          <w:jc w:val="center"/>
        </w:trPr>
        <w:tc>
          <w:tcPr>
            <w:tcW w:w="687" w:type="pc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kern w:val="0"/>
                <w:sz w:val="32"/>
                <w:szCs w:val="32"/>
                <w:highlight w:val="none"/>
                <w:lang w:val="en-US" w:eastAsia="zh-CN"/>
              </w:rPr>
              <w:t>8：策划安全保障方案</w:t>
            </w:r>
          </w:p>
        </w:tc>
        <w:tc>
          <w:tcPr>
            <w:tcW w:w="613" w:type="pct"/>
            <w:noWrap w:val="0"/>
            <w:vAlign w:val="center"/>
          </w:tcPr>
          <w:p>
            <w:pPr>
              <w:keepNext w:val="0"/>
              <w:keepLines w:val="0"/>
              <w:pageBreakBefore w:val="0"/>
              <w:kinsoku/>
              <w:overflowPunct/>
              <w:autoSpaceDE/>
              <w:autoSpaceDN/>
              <w:bidi w:val="0"/>
              <w:snapToGrid w:val="0"/>
              <w:spacing w:line="60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5分</w:t>
            </w:r>
          </w:p>
        </w:tc>
        <w:tc>
          <w:tcPr>
            <w:tcW w:w="3699" w:type="pct"/>
            <w:noWrap w:val="0"/>
            <w:vAlign w:val="top"/>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根据本项目实际情况制定相应的安全保障措施等（如配备医护人员等），可行性强的得5分，可行性一般的得3分，可行性较差的得1分，未提供的不得分。（满分5分）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7" w:hRule="atLeast"/>
          <w:tblHeader/>
          <w:jc w:val="center"/>
        </w:trPr>
        <w:tc>
          <w:tcPr>
            <w:tcW w:w="687" w:type="pct"/>
            <w:noWrap w:val="0"/>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A9:保密措施</w:t>
            </w:r>
          </w:p>
        </w:tc>
        <w:tc>
          <w:tcPr>
            <w:tcW w:w="613" w:type="pct"/>
            <w:noWrap w:val="0"/>
            <w:vAlign w:val="center"/>
          </w:tcPr>
          <w:p>
            <w:pPr>
              <w:keepNext w:val="0"/>
              <w:keepLines w:val="0"/>
              <w:pageBreakBefore w:val="0"/>
              <w:kinsoku/>
              <w:overflowPunct/>
              <w:autoSpaceDE/>
              <w:autoSpaceDN/>
              <w:bidi w:val="0"/>
              <w:snapToGrid w:val="0"/>
              <w:spacing w:line="60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5分</w:t>
            </w:r>
          </w:p>
        </w:tc>
        <w:tc>
          <w:tcPr>
            <w:tcW w:w="3699" w:type="pct"/>
            <w:noWrap w:val="0"/>
            <w:vAlign w:val="top"/>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根据报名方针对本项目制定相应的保密措施（包含但不限于运营期间相关数据、营销策略等），可行性强的得5分，可行性一般的得3分，可行性较差的得1分，未提供的不得分。（满分5分）</w:t>
            </w:r>
          </w:p>
        </w:tc>
      </w:tr>
    </w:tbl>
    <w:p>
      <w:pPr>
        <w:keepNext w:val="0"/>
        <w:keepLines w:val="0"/>
        <w:pageBreakBefore w:val="0"/>
        <w:kinsoku/>
        <w:overflowPunct/>
        <w:autoSpaceDE/>
        <w:autoSpaceDN/>
        <w:bidi w:val="0"/>
        <w:spacing w:line="600" w:lineRule="exac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eastAsia="zh-CN"/>
        </w:rPr>
        <w:t>报名方</w:t>
      </w:r>
      <w:r>
        <w:rPr>
          <w:rFonts w:hint="eastAsia" w:ascii="仿宋_GB2312" w:hAnsi="仿宋_GB2312" w:eastAsia="仿宋_GB2312" w:cs="仿宋_GB2312"/>
          <w:bCs/>
          <w:sz w:val="32"/>
          <w:szCs w:val="32"/>
          <w:highlight w:val="none"/>
        </w:rPr>
        <w:t>技术部分得分A=A1+A2+A3+</w:t>
      </w:r>
      <w:r>
        <w:rPr>
          <w:rFonts w:hint="eastAsia" w:ascii="仿宋_GB2312" w:hAnsi="仿宋_GB2312" w:eastAsia="仿宋_GB2312" w:cs="仿宋_GB2312"/>
          <w:bCs/>
          <w:sz w:val="32"/>
          <w:szCs w:val="32"/>
          <w:highlight w:val="none"/>
          <w:lang w:val="en-US" w:eastAsia="zh-CN"/>
        </w:rPr>
        <w:t>……+A9</w:t>
      </w:r>
    </w:p>
    <w:p>
      <w:pPr>
        <w:keepNext w:val="0"/>
        <w:keepLines w:val="0"/>
        <w:pageBreakBefore w:val="0"/>
        <w:kinsoku/>
        <w:overflowPunct/>
        <w:autoSpaceDE/>
        <w:autoSpaceDN/>
        <w:bidi w:val="0"/>
        <w:spacing w:line="600" w:lineRule="exact"/>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B、商务部分评分办法（满分</w:t>
      </w:r>
      <w:r>
        <w:rPr>
          <w:rFonts w:hint="eastAsia" w:ascii="仿宋_GB2312" w:hAnsi="仿宋_GB2312" w:eastAsia="仿宋_GB2312" w:cs="仿宋_GB2312"/>
          <w:b/>
          <w:sz w:val="32"/>
          <w:szCs w:val="32"/>
          <w:highlight w:val="none"/>
          <w:lang w:val="en-US" w:eastAsia="zh-CN"/>
        </w:rPr>
        <w:t>25</w:t>
      </w:r>
      <w:r>
        <w:rPr>
          <w:rFonts w:hint="eastAsia" w:ascii="仿宋_GB2312" w:hAnsi="仿宋_GB2312" w:eastAsia="仿宋_GB2312" w:cs="仿宋_GB2312"/>
          <w:b/>
          <w:sz w:val="32"/>
          <w:szCs w:val="32"/>
          <w:highlight w:val="none"/>
        </w:rPr>
        <w:t>分）</w:t>
      </w:r>
      <w:r>
        <w:rPr>
          <w:rFonts w:hint="eastAsia" w:ascii="仿宋_GB2312" w:hAnsi="仿宋_GB2312" w:eastAsia="仿宋_GB2312" w:cs="仿宋_GB2312"/>
          <w:bCs/>
          <w:sz w:val="32"/>
          <w:szCs w:val="32"/>
          <w:highlight w:val="none"/>
        </w:rPr>
        <w:t xml:space="preserve"> </w:t>
      </w:r>
    </w:p>
    <w:tbl>
      <w:tblPr>
        <w:tblStyle w:val="9"/>
        <w:tblW w:w="50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058"/>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1" w:type="pct"/>
            <w:noWrap w:val="0"/>
            <w:vAlign w:val="center"/>
          </w:tcPr>
          <w:p>
            <w:pPr>
              <w:keepNext w:val="0"/>
              <w:keepLines w:val="0"/>
              <w:pageBreakBefore w:val="0"/>
              <w:kinsoku/>
              <w:overflowPunct/>
              <w:autoSpaceDE/>
              <w:autoSpaceDN/>
              <w:bidi w:val="0"/>
              <w:spacing w:line="600" w:lineRule="exact"/>
              <w:jc w:val="center"/>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项目</w:t>
            </w:r>
          </w:p>
        </w:tc>
        <w:tc>
          <w:tcPr>
            <w:tcW w:w="612" w:type="pct"/>
            <w:noWrap w:val="0"/>
            <w:vAlign w:val="center"/>
          </w:tcPr>
          <w:p>
            <w:pPr>
              <w:keepNext w:val="0"/>
              <w:keepLines w:val="0"/>
              <w:pageBreakBefore w:val="0"/>
              <w:kinsoku/>
              <w:overflowPunct/>
              <w:autoSpaceDE/>
              <w:autoSpaceDN/>
              <w:bidi w:val="0"/>
              <w:spacing w:line="600" w:lineRule="exact"/>
              <w:jc w:val="center"/>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评标分值</w:t>
            </w:r>
          </w:p>
        </w:tc>
        <w:tc>
          <w:tcPr>
            <w:tcW w:w="3686" w:type="pct"/>
            <w:noWrap w:val="0"/>
            <w:vAlign w:val="center"/>
          </w:tcPr>
          <w:p>
            <w:pPr>
              <w:keepNext w:val="0"/>
              <w:keepLines w:val="0"/>
              <w:pageBreakBefore w:val="0"/>
              <w:kinsoku/>
              <w:overflowPunct/>
              <w:autoSpaceDE/>
              <w:autoSpaceDN/>
              <w:bidi w:val="0"/>
              <w:spacing w:line="600" w:lineRule="exact"/>
              <w:jc w:val="center"/>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评分细则描述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01" w:type="pct"/>
            <w:noWrap w:val="0"/>
            <w:vAlign w:val="center"/>
          </w:tcPr>
          <w:p>
            <w:pPr>
              <w:keepNext w:val="0"/>
              <w:keepLines w:val="0"/>
              <w:pageBreakBefore w:val="0"/>
              <w:kinsoku/>
              <w:overflowPunct/>
              <w:autoSpaceDE/>
              <w:autoSpaceDN/>
              <w:bidi w:val="0"/>
              <w:spacing w:line="600" w:lineRule="exact"/>
              <w:textAlignment w:val="auto"/>
              <w:rPr>
                <w:rFonts w:hint="eastAsia" w:ascii="仿宋_GB2312" w:hAnsi="仿宋_GB2312" w:eastAsia="仿宋_GB2312" w:cs="仿宋_GB2312"/>
                <w:color w:val="auto"/>
                <w:kern w:val="0"/>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u w:val="none"/>
                <w:lang w:val="en-US" w:eastAsia="zh-CN"/>
              </w:rPr>
              <w:t>B1：经验</w:t>
            </w:r>
          </w:p>
        </w:tc>
        <w:tc>
          <w:tcPr>
            <w:tcW w:w="612" w:type="pct"/>
            <w:noWrap w:val="0"/>
            <w:vAlign w:val="center"/>
          </w:tcPr>
          <w:p>
            <w:pPr>
              <w:keepNext w:val="0"/>
              <w:keepLines w:val="0"/>
              <w:pageBreakBefore w:val="0"/>
              <w:kinsoku/>
              <w:overflowPunct/>
              <w:autoSpaceDE/>
              <w:autoSpaceDN/>
              <w:bidi w:val="0"/>
              <w:spacing w:line="600" w:lineRule="exact"/>
              <w:ind w:firstLine="320" w:firstLineChars="100"/>
              <w:jc w:val="center"/>
              <w:textAlignment w:val="auto"/>
              <w:rPr>
                <w:rFonts w:hint="eastAsia" w:ascii="仿宋_GB2312" w:hAnsi="仿宋_GB2312" w:eastAsia="仿宋_GB2312" w:cs="仿宋_GB2312"/>
                <w:color w:val="auto"/>
                <w:kern w:val="0"/>
                <w:sz w:val="32"/>
                <w:szCs w:val="32"/>
                <w:highlight w:val="none"/>
                <w:u w:val="single"/>
                <w:lang w:val="en-US" w:eastAsia="zh-CN" w:bidi="ar-SA"/>
              </w:rPr>
            </w:pPr>
            <w:r>
              <w:rPr>
                <w:rFonts w:hint="eastAsia" w:ascii="仿宋_GB2312" w:hAnsi="仿宋_GB2312" w:eastAsia="仿宋_GB2312" w:cs="仿宋_GB2312"/>
                <w:color w:val="auto"/>
                <w:kern w:val="0"/>
                <w:sz w:val="32"/>
                <w:szCs w:val="32"/>
                <w:highlight w:val="none"/>
                <w:u w:val="none"/>
                <w:lang w:val="en-US" w:eastAsia="zh-CN"/>
              </w:rPr>
              <w:t>6分</w:t>
            </w:r>
          </w:p>
        </w:tc>
        <w:tc>
          <w:tcPr>
            <w:tcW w:w="3686"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i w:val="0"/>
                <w:caps w:val="0"/>
                <w:color w:val="000000"/>
                <w:spacing w:val="0"/>
                <w:sz w:val="32"/>
                <w:szCs w:val="32"/>
                <w:highlight w:val="none"/>
                <w:u w:val="none"/>
                <w:shd w:val="clear" w:color="auto" w:fill="auto"/>
                <w:lang w:eastAsia="zh-CN"/>
              </w:rPr>
              <w:t>报名方</w:t>
            </w:r>
            <w:r>
              <w:rPr>
                <w:rFonts w:hint="eastAsia" w:ascii="仿宋_GB2312" w:hAnsi="仿宋_GB2312" w:eastAsia="仿宋_GB2312" w:cs="仿宋_GB2312"/>
                <w:i w:val="0"/>
                <w:caps w:val="0"/>
                <w:color w:val="000000"/>
                <w:spacing w:val="0"/>
                <w:sz w:val="32"/>
                <w:szCs w:val="32"/>
                <w:highlight w:val="none"/>
                <w:u w:val="none"/>
                <w:shd w:val="clear" w:color="auto" w:fill="auto"/>
                <w:lang w:val="en-US" w:eastAsia="zh-CN"/>
              </w:rPr>
              <w:t>提供公告发布之日起前五年内</w:t>
            </w:r>
            <w:r>
              <w:rPr>
                <w:rFonts w:hint="eastAsia" w:ascii="仿宋_GB2312" w:hAnsi="仿宋_GB2312" w:eastAsia="仿宋_GB2312" w:cs="仿宋_GB2312"/>
                <w:i w:val="0"/>
                <w:caps w:val="0"/>
                <w:color w:val="000000"/>
                <w:spacing w:val="0"/>
                <w:sz w:val="32"/>
                <w:szCs w:val="32"/>
                <w:highlight w:val="none"/>
                <w:u w:val="none"/>
                <w:shd w:val="clear" w:color="auto" w:fill="auto"/>
              </w:rPr>
              <w:t>具有符合</w:t>
            </w:r>
            <w:r>
              <w:rPr>
                <w:rFonts w:hint="eastAsia" w:ascii="仿宋_GB2312" w:hAnsi="仿宋_GB2312" w:eastAsia="仿宋_GB2312" w:cs="仿宋_GB2312"/>
                <w:i w:val="0"/>
                <w:caps w:val="0"/>
                <w:color w:val="000000"/>
                <w:spacing w:val="0"/>
                <w:sz w:val="32"/>
                <w:szCs w:val="32"/>
                <w:highlight w:val="none"/>
                <w:u w:val="none"/>
                <w:shd w:val="clear" w:color="auto" w:fill="auto"/>
                <w:lang w:val="en-US" w:eastAsia="zh-CN"/>
              </w:rPr>
              <w:t>水上</w:t>
            </w:r>
            <w:r>
              <w:rPr>
                <w:rFonts w:hint="eastAsia" w:ascii="仿宋_GB2312" w:hAnsi="仿宋_GB2312" w:eastAsia="仿宋_GB2312" w:cs="仿宋_GB2312"/>
                <w:i w:val="0"/>
                <w:caps w:val="0"/>
                <w:color w:val="000000"/>
                <w:spacing w:val="0"/>
                <w:sz w:val="32"/>
                <w:szCs w:val="32"/>
                <w:highlight w:val="none"/>
                <w:u w:val="none"/>
                <w:shd w:val="clear" w:color="auto" w:fill="auto"/>
              </w:rPr>
              <w:t>项目业态经营的成功案例</w:t>
            </w:r>
            <w:r>
              <w:rPr>
                <w:rFonts w:hint="eastAsia" w:ascii="仿宋_GB2312" w:hAnsi="仿宋_GB2312" w:eastAsia="仿宋_GB2312" w:cs="仿宋_GB2312"/>
                <w:i w:val="0"/>
                <w:caps w:val="0"/>
                <w:color w:val="000000"/>
                <w:spacing w:val="0"/>
                <w:sz w:val="32"/>
                <w:szCs w:val="32"/>
                <w:highlight w:val="none"/>
                <w:u w:val="none"/>
                <w:shd w:val="clear" w:color="auto" w:fill="auto"/>
                <w:lang w:val="en-US" w:eastAsia="zh-CN"/>
              </w:rPr>
              <w:t>一例以上</w:t>
            </w:r>
            <w:r>
              <w:rPr>
                <w:rFonts w:hint="eastAsia" w:ascii="仿宋_GB2312" w:hAnsi="仿宋_GB2312" w:eastAsia="仿宋_GB2312" w:cs="仿宋_GB2312"/>
                <w:i w:val="0"/>
                <w:caps w:val="0"/>
                <w:color w:val="000000"/>
                <w:spacing w:val="0"/>
                <w:sz w:val="32"/>
                <w:szCs w:val="32"/>
                <w:highlight w:val="none"/>
                <w:u w:val="none"/>
                <w:shd w:val="clear" w:color="auto" w:fill="auto"/>
              </w:rPr>
              <w:t>或具备相关管理经营优势</w:t>
            </w:r>
            <w:r>
              <w:rPr>
                <w:rFonts w:hint="eastAsia" w:ascii="仿宋_GB2312" w:hAnsi="仿宋_GB2312" w:eastAsia="仿宋_GB2312" w:cs="仿宋_GB2312"/>
                <w:i w:val="0"/>
                <w:caps w:val="0"/>
                <w:color w:val="000000"/>
                <w:spacing w:val="0"/>
                <w:sz w:val="32"/>
                <w:szCs w:val="32"/>
                <w:highlight w:val="none"/>
                <w:u w:val="none"/>
                <w:shd w:val="clear" w:color="auto" w:fill="auto"/>
                <w:lang w:eastAsia="zh-CN"/>
              </w:rPr>
              <w:t>（</w:t>
            </w:r>
            <w:r>
              <w:rPr>
                <w:rFonts w:hint="eastAsia" w:ascii="仿宋_GB2312" w:hAnsi="仿宋_GB2312" w:eastAsia="仿宋_GB2312" w:cs="仿宋_GB2312"/>
                <w:i w:val="0"/>
                <w:caps w:val="0"/>
                <w:color w:val="000000"/>
                <w:spacing w:val="0"/>
                <w:sz w:val="32"/>
                <w:szCs w:val="32"/>
                <w:highlight w:val="none"/>
                <w:u w:val="none"/>
                <w:shd w:val="clear" w:color="auto" w:fill="auto"/>
              </w:rPr>
              <w:t>类似</w:t>
            </w:r>
            <w:r>
              <w:rPr>
                <w:rFonts w:hint="eastAsia" w:ascii="仿宋_GB2312" w:hAnsi="仿宋_GB2312" w:eastAsia="仿宋_GB2312" w:cs="仿宋_GB2312"/>
                <w:i w:val="0"/>
                <w:caps w:val="0"/>
                <w:color w:val="000000"/>
                <w:spacing w:val="0"/>
                <w:sz w:val="32"/>
                <w:szCs w:val="32"/>
                <w:highlight w:val="none"/>
                <w:u w:val="none"/>
                <w:shd w:val="clear" w:color="auto" w:fill="auto"/>
                <w:lang w:val="en-US" w:eastAsia="zh-CN"/>
              </w:rPr>
              <w:t>水上运动、水上乐园等亲水项目</w:t>
            </w:r>
            <w:r>
              <w:rPr>
                <w:rFonts w:hint="eastAsia" w:ascii="仿宋_GB2312" w:hAnsi="仿宋_GB2312" w:eastAsia="仿宋_GB2312" w:cs="仿宋_GB2312"/>
                <w:i w:val="0"/>
                <w:caps w:val="0"/>
                <w:color w:val="000000"/>
                <w:spacing w:val="0"/>
                <w:sz w:val="32"/>
                <w:szCs w:val="32"/>
                <w:highlight w:val="none"/>
                <w:u w:val="none"/>
                <w:shd w:val="clear" w:color="auto" w:fill="auto"/>
              </w:rPr>
              <w:t>业绩</w:t>
            </w:r>
            <w:r>
              <w:rPr>
                <w:rFonts w:hint="eastAsia" w:ascii="仿宋_GB2312" w:hAnsi="仿宋_GB2312" w:eastAsia="仿宋_GB2312" w:cs="仿宋_GB2312"/>
                <w:i w:val="0"/>
                <w:caps w:val="0"/>
                <w:color w:val="000000"/>
                <w:spacing w:val="0"/>
                <w:sz w:val="32"/>
                <w:szCs w:val="32"/>
                <w:highlight w:val="none"/>
                <w:u w:val="none"/>
                <w:shd w:val="clear" w:color="auto" w:fill="auto"/>
                <w:lang w:eastAsia="zh-CN"/>
              </w:rPr>
              <w:t>），</w:t>
            </w:r>
            <w:r>
              <w:rPr>
                <w:rFonts w:hint="eastAsia" w:ascii="仿宋_GB2312" w:hAnsi="仿宋_GB2312" w:eastAsia="仿宋_GB2312" w:cs="仿宋_GB2312"/>
                <w:i w:val="0"/>
                <w:caps w:val="0"/>
                <w:color w:val="000000"/>
                <w:spacing w:val="0"/>
                <w:sz w:val="32"/>
                <w:szCs w:val="32"/>
                <w:highlight w:val="none"/>
                <w:u w:val="none"/>
                <w:shd w:val="clear" w:color="auto" w:fill="auto"/>
                <w:lang w:val="en-US" w:eastAsia="zh-CN"/>
              </w:rPr>
              <w:t>可</w:t>
            </w:r>
            <w:r>
              <w:rPr>
                <w:rFonts w:hint="eastAsia" w:ascii="仿宋_GB2312" w:hAnsi="仿宋_GB2312" w:eastAsia="仿宋_GB2312" w:cs="仿宋_GB2312"/>
                <w:i w:val="0"/>
                <w:caps w:val="0"/>
                <w:color w:val="000000"/>
                <w:spacing w:val="0"/>
                <w:sz w:val="32"/>
                <w:szCs w:val="32"/>
                <w:highlight w:val="none"/>
                <w:u w:val="none"/>
                <w:shd w:val="clear" w:color="auto" w:fill="auto"/>
              </w:rPr>
              <w:t>提供</w:t>
            </w:r>
            <w:r>
              <w:rPr>
                <w:rFonts w:hint="eastAsia" w:ascii="仿宋_GB2312" w:hAnsi="仿宋_GB2312" w:eastAsia="仿宋_GB2312" w:cs="仿宋_GB2312"/>
                <w:color w:val="000000"/>
                <w:kern w:val="2"/>
                <w:sz w:val="32"/>
                <w:szCs w:val="32"/>
                <w:highlight w:val="none"/>
                <w:u w:val="none"/>
                <w:shd w:val="clear" w:color="auto" w:fill="auto"/>
                <w:lang w:val="en-US" w:eastAsia="zh-CN"/>
              </w:rPr>
              <w:t>场地租赁合同</w:t>
            </w:r>
            <w:r>
              <w:rPr>
                <w:rFonts w:hint="eastAsia" w:ascii="仿宋_GB2312" w:hAnsi="仿宋_GB2312" w:eastAsia="仿宋_GB2312" w:cs="仿宋_GB2312"/>
                <w:color w:val="auto"/>
                <w:kern w:val="2"/>
                <w:sz w:val="32"/>
                <w:szCs w:val="32"/>
                <w:highlight w:val="none"/>
                <w:u w:val="none"/>
                <w:lang w:val="en-US" w:eastAsia="zh-CN"/>
              </w:rPr>
              <w:t>、业务合同</w:t>
            </w:r>
            <w:r>
              <w:rPr>
                <w:rFonts w:hint="eastAsia" w:ascii="仿宋_GB2312" w:hAnsi="仿宋_GB2312" w:eastAsia="仿宋_GB2312" w:cs="仿宋_GB2312"/>
                <w:color w:val="000000"/>
                <w:kern w:val="2"/>
                <w:sz w:val="32"/>
                <w:szCs w:val="32"/>
                <w:highlight w:val="none"/>
                <w:u w:val="none"/>
                <w:shd w:val="clear" w:color="auto" w:fill="auto"/>
                <w:lang w:val="en-US" w:eastAsia="zh-CN"/>
              </w:rPr>
              <w:t>或场地委托管理协议复印件一份以上，原件备查。</w:t>
            </w:r>
            <w:r>
              <w:rPr>
                <w:rFonts w:hint="eastAsia" w:ascii="仿宋_GB2312" w:hAnsi="仿宋_GB2312" w:eastAsia="仿宋_GB2312" w:cs="仿宋_GB2312"/>
                <w:color w:val="auto"/>
                <w:kern w:val="2"/>
                <w:sz w:val="32"/>
                <w:szCs w:val="32"/>
                <w:highlight w:val="none"/>
                <w:u w:val="none"/>
                <w:shd w:val="clear" w:color="auto" w:fill="auto"/>
                <w:lang w:val="en-US" w:eastAsia="zh-CN"/>
              </w:rPr>
              <w:t>提供1份不得分，</w:t>
            </w:r>
            <w:r>
              <w:rPr>
                <w:rFonts w:hint="eastAsia" w:ascii="仿宋_GB2312" w:hAnsi="仿宋_GB2312" w:eastAsia="仿宋_GB2312" w:cs="仿宋_GB2312"/>
                <w:color w:val="auto"/>
                <w:kern w:val="2"/>
                <w:sz w:val="32"/>
                <w:szCs w:val="32"/>
                <w:highlight w:val="none"/>
                <w:u w:val="none"/>
                <w:lang w:val="en-US" w:eastAsia="zh-CN"/>
              </w:rPr>
              <w:t>每增加1份加2分，最高得分6分，未提供的不得分。</w:t>
            </w:r>
          </w:p>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0"/>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u w:val="none"/>
                <w:lang w:val="en-US" w:eastAsia="zh-CN"/>
              </w:rPr>
              <w:t>【需提供场地租赁合同、业务合同或场地委托管理协议复印件】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01"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rPr>
              <w:t>B2：团队实力</w:t>
            </w:r>
          </w:p>
        </w:tc>
        <w:tc>
          <w:tcPr>
            <w:tcW w:w="612" w:type="pct"/>
            <w:noWrap w:val="0"/>
            <w:vAlign w:val="center"/>
          </w:tcPr>
          <w:p>
            <w:pPr>
              <w:keepNext w:val="0"/>
              <w:keepLines w:val="0"/>
              <w:pageBreakBefore w:val="0"/>
              <w:widowControl/>
              <w:kinsoku/>
              <w:overflowPunct/>
              <w:autoSpaceDE/>
              <w:autoSpaceDN/>
              <w:bidi w:val="0"/>
              <w:spacing w:line="600" w:lineRule="exact"/>
              <w:ind w:firstLine="0" w:firstLine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rPr>
              <w:t>8分</w:t>
            </w:r>
          </w:p>
        </w:tc>
        <w:tc>
          <w:tcPr>
            <w:tcW w:w="3686"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报名方针对本项目拟配备的人员中，持有红十字急救师资证、救生员证、急救员证、帆船教练员证、皮划艇教练员证、国家体育总局水上运动管理中心颁发的桨板教练员证、裁判员证、帆船驾驶证培训资质、裁判员证、船艇驾驶证等水上运动相关证件，每一个证件得1分（每种类型的证件不能重复计分，同个人最多可计两分），满分8分，最高得分8分，未提供的不得分。</w:t>
            </w:r>
          </w:p>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rPr>
              <w:t>【需提供有效证书复印件及报名方为其缴纳近三个月任意一个月的社保证明材料】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rPr>
              <w:t>B3资质</w:t>
            </w:r>
          </w:p>
        </w:tc>
        <w:tc>
          <w:tcPr>
            <w:tcW w:w="612" w:type="pct"/>
            <w:noWrap w:val="0"/>
            <w:vAlign w:val="center"/>
          </w:tcPr>
          <w:p>
            <w:pPr>
              <w:keepNext w:val="0"/>
              <w:keepLines w:val="0"/>
              <w:pageBreakBefore w:val="0"/>
              <w:widowControl/>
              <w:kinsoku/>
              <w:overflowPunct/>
              <w:autoSpaceDE/>
              <w:autoSpaceDN/>
              <w:bidi w:val="0"/>
              <w:spacing w:line="600" w:lineRule="exact"/>
              <w:ind w:firstLine="0" w:firstLine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rPr>
              <w:t>4分</w:t>
            </w:r>
          </w:p>
        </w:tc>
        <w:tc>
          <w:tcPr>
            <w:tcW w:w="3686"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rPr>
              <w:t>报名方具有水上运动相关运营资质（包含但不限于特种行业许可证、高危险性体育项目经营许可证、救助人员职业资格证明、卫生许可证、安全许可证、消防许可证），每提供一项得1分，满分4 分，未提供的不得分【需提供有效复印件】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1"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rPr>
              <w:t>B4：管理体系认证</w:t>
            </w:r>
          </w:p>
        </w:tc>
        <w:tc>
          <w:tcPr>
            <w:tcW w:w="612" w:type="pct"/>
            <w:noWrap w:val="0"/>
            <w:vAlign w:val="center"/>
          </w:tcPr>
          <w:p>
            <w:pPr>
              <w:keepNext w:val="0"/>
              <w:keepLines w:val="0"/>
              <w:pageBreakBefore w:val="0"/>
              <w:widowControl/>
              <w:kinsoku/>
              <w:overflowPunct/>
              <w:autoSpaceDE/>
              <w:autoSpaceDN/>
              <w:bidi w:val="0"/>
              <w:spacing w:line="600" w:lineRule="exact"/>
              <w:ind w:firstLine="0" w:firstLine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rPr>
              <w:t>3分</w:t>
            </w:r>
          </w:p>
        </w:tc>
        <w:tc>
          <w:tcPr>
            <w:tcW w:w="3686"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rPr>
              <w:t>报名方具有环境管理体系认证证书的得1分，具有质量管理体系认证的得1分，具有职业健康安全管理体系认证证书的得1分，满分3分，未提供的不得分。【需提供有效证书复印件】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1"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B5：合同履约能力1</w:t>
            </w:r>
          </w:p>
        </w:tc>
        <w:tc>
          <w:tcPr>
            <w:tcW w:w="612" w:type="pct"/>
            <w:noWrap w:val="0"/>
            <w:vAlign w:val="center"/>
          </w:tcPr>
          <w:p>
            <w:pPr>
              <w:keepNext w:val="0"/>
              <w:keepLines w:val="0"/>
              <w:pageBreakBefore w:val="0"/>
              <w:widowControl/>
              <w:kinsoku/>
              <w:overflowPunct/>
              <w:autoSpaceDE/>
              <w:autoSpaceDN/>
              <w:bidi w:val="0"/>
              <w:snapToGrid/>
              <w:spacing w:line="60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Cs w:val="0"/>
                <w:color w:val="auto"/>
                <w:sz w:val="32"/>
                <w:szCs w:val="32"/>
                <w:highlight w:val="none"/>
                <w:lang w:val="en-US" w:eastAsia="zh-CN"/>
              </w:rPr>
              <w:t>2分</w:t>
            </w:r>
          </w:p>
        </w:tc>
        <w:tc>
          <w:tcPr>
            <w:tcW w:w="3686"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rPr>
              <w:t>根据各</w:t>
            </w:r>
            <w:r>
              <w:rPr>
                <w:rFonts w:hint="eastAsia" w:ascii="仿宋_GB2312" w:hAnsi="仿宋_GB2312" w:eastAsia="仿宋_GB2312" w:cs="仿宋_GB2312"/>
                <w:color w:val="auto"/>
                <w:kern w:val="0"/>
                <w:sz w:val="32"/>
                <w:szCs w:val="32"/>
                <w:highlight w:val="none"/>
                <w:lang w:eastAsia="zh-CN"/>
              </w:rPr>
              <w:t>报名方</w:t>
            </w:r>
            <w:r>
              <w:rPr>
                <w:rFonts w:hint="eastAsia" w:ascii="仿宋_GB2312" w:hAnsi="仿宋_GB2312" w:eastAsia="仿宋_GB2312" w:cs="仿宋_GB2312"/>
                <w:color w:val="auto"/>
                <w:kern w:val="2"/>
                <w:sz w:val="32"/>
                <w:szCs w:val="32"/>
                <w:highlight w:val="none"/>
              </w:rPr>
              <w:t>合同履约能力情况进行评定，</w:t>
            </w:r>
            <w:r>
              <w:rPr>
                <w:rFonts w:hint="eastAsia" w:ascii="仿宋_GB2312" w:hAnsi="仿宋_GB2312" w:eastAsia="仿宋_GB2312" w:cs="仿宋_GB2312"/>
                <w:color w:val="auto"/>
                <w:kern w:val="0"/>
                <w:sz w:val="32"/>
                <w:szCs w:val="32"/>
                <w:highlight w:val="none"/>
                <w:lang w:eastAsia="zh-CN"/>
              </w:rPr>
              <w:t>报名方</w:t>
            </w:r>
            <w:r>
              <w:rPr>
                <w:rFonts w:hint="eastAsia" w:ascii="仿宋_GB2312" w:hAnsi="仿宋_GB2312" w:eastAsia="仿宋_GB2312" w:cs="仿宋_GB2312"/>
                <w:color w:val="auto"/>
                <w:kern w:val="2"/>
                <w:sz w:val="32"/>
                <w:szCs w:val="32"/>
                <w:highlight w:val="none"/>
              </w:rPr>
              <w:t>近五年内未出现因自身原因被取消</w:t>
            </w:r>
            <w:r>
              <w:rPr>
                <w:rFonts w:hint="eastAsia" w:ascii="仿宋_GB2312" w:hAnsi="仿宋_GB2312" w:eastAsia="仿宋_GB2312" w:cs="仿宋_GB2312"/>
                <w:color w:val="auto"/>
                <w:kern w:val="2"/>
                <w:sz w:val="32"/>
                <w:szCs w:val="32"/>
                <w:highlight w:val="none"/>
                <w:lang w:val="en-US" w:eastAsia="zh-CN"/>
              </w:rPr>
              <w:t>中标</w:t>
            </w:r>
            <w:r>
              <w:rPr>
                <w:rFonts w:hint="eastAsia" w:ascii="仿宋_GB2312" w:hAnsi="仿宋_GB2312" w:eastAsia="仿宋_GB2312" w:cs="仿宋_GB2312"/>
                <w:color w:val="auto"/>
                <w:kern w:val="2"/>
                <w:sz w:val="32"/>
                <w:szCs w:val="32"/>
                <w:highlight w:val="none"/>
              </w:rPr>
              <w:t>资格或解除</w:t>
            </w:r>
            <w:r>
              <w:rPr>
                <w:rFonts w:hint="eastAsia" w:ascii="仿宋_GB2312" w:hAnsi="仿宋_GB2312" w:eastAsia="仿宋_GB2312" w:cs="仿宋_GB2312"/>
                <w:color w:val="auto"/>
                <w:kern w:val="0"/>
                <w:sz w:val="32"/>
                <w:szCs w:val="32"/>
                <w:highlight w:val="none"/>
                <w:lang w:eastAsia="zh-CN"/>
              </w:rPr>
              <w:t>租赁</w:t>
            </w:r>
            <w:r>
              <w:rPr>
                <w:rFonts w:hint="eastAsia" w:ascii="仿宋_GB2312" w:hAnsi="仿宋_GB2312" w:eastAsia="仿宋_GB2312" w:cs="仿宋_GB2312"/>
                <w:color w:val="auto"/>
                <w:kern w:val="2"/>
                <w:sz w:val="32"/>
                <w:szCs w:val="32"/>
                <w:highlight w:val="none"/>
              </w:rPr>
              <w:t>合同的得</w:t>
            </w: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rPr>
              <w:t>分，</w:t>
            </w:r>
            <w:r>
              <w:rPr>
                <w:rFonts w:hint="eastAsia" w:ascii="仿宋_GB2312" w:hAnsi="仿宋_GB2312" w:eastAsia="仿宋_GB2312" w:cs="仿宋_GB2312"/>
                <w:color w:val="auto"/>
                <w:kern w:val="2"/>
                <w:sz w:val="32"/>
                <w:szCs w:val="32"/>
                <w:highlight w:val="none"/>
                <w:lang w:val="en-US" w:eastAsia="zh-CN"/>
              </w:rPr>
              <w:t>提供承诺函，</w:t>
            </w:r>
            <w:r>
              <w:rPr>
                <w:rFonts w:hint="eastAsia" w:ascii="仿宋_GB2312" w:hAnsi="仿宋_GB2312" w:eastAsia="仿宋_GB2312" w:cs="仿宋_GB2312"/>
                <w:color w:val="auto"/>
                <w:kern w:val="2"/>
                <w:sz w:val="32"/>
                <w:szCs w:val="32"/>
                <w:highlight w:val="none"/>
              </w:rPr>
              <w:t>否则不得分</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0"/>
                <w:sz w:val="32"/>
                <w:szCs w:val="32"/>
                <w:highlight w:val="none"/>
                <w:lang w:eastAsia="zh-CN"/>
              </w:rPr>
              <w:t>报名方</w:t>
            </w:r>
            <w:r>
              <w:rPr>
                <w:rFonts w:hint="eastAsia" w:ascii="仿宋_GB2312" w:hAnsi="仿宋_GB2312" w:eastAsia="仿宋_GB2312" w:cs="仿宋_GB2312"/>
                <w:color w:val="auto"/>
                <w:kern w:val="2"/>
                <w:sz w:val="32"/>
                <w:szCs w:val="32"/>
                <w:highlight w:val="none"/>
              </w:rPr>
              <w:t>须如实提供专项承诺函</w:t>
            </w:r>
            <w:r>
              <w:rPr>
                <w:rFonts w:hint="eastAsia" w:ascii="仿宋_GB2312" w:hAnsi="仿宋_GB2312" w:eastAsia="仿宋_GB2312" w:cs="仿宋_GB2312"/>
                <w:color w:val="auto"/>
                <w:kern w:val="0"/>
                <w:sz w:val="32"/>
                <w:szCs w:val="32"/>
                <w:highlight w:val="none"/>
                <w:lang w:eastAsia="zh-CN"/>
              </w:rPr>
              <w:t>复印件</w:t>
            </w:r>
            <w:r>
              <w:rPr>
                <w:rFonts w:hint="eastAsia" w:ascii="仿宋_GB2312" w:hAnsi="仿宋_GB2312" w:eastAsia="仿宋_GB2312" w:cs="仿宋_GB2312"/>
                <w:color w:val="auto"/>
                <w:kern w:val="2"/>
                <w:sz w:val="32"/>
                <w:szCs w:val="32"/>
                <w:highlight w:val="none"/>
              </w:rPr>
              <w:t>并加盖公章，如果发现虚假承诺，取消其中</w:t>
            </w:r>
            <w:r>
              <w:rPr>
                <w:rFonts w:hint="eastAsia" w:ascii="仿宋_GB2312" w:hAnsi="仿宋_GB2312" w:eastAsia="仿宋_GB2312" w:cs="仿宋_GB2312"/>
                <w:color w:val="auto"/>
                <w:kern w:val="2"/>
                <w:sz w:val="32"/>
                <w:szCs w:val="32"/>
                <w:highlight w:val="none"/>
                <w:lang w:eastAsia="zh-CN"/>
              </w:rPr>
              <w:t>选</w:t>
            </w:r>
            <w:r>
              <w:rPr>
                <w:rFonts w:hint="eastAsia" w:ascii="仿宋_GB2312" w:hAnsi="仿宋_GB2312" w:eastAsia="仿宋_GB2312" w:cs="仿宋_GB2312"/>
                <w:color w:val="auto"/>
                <w:kern w:val="2"/>
                <w:sz w:val="32"/>
                <w:szCs w:val="32"/>
                <w:highlight w:val="none"/>
              </w:rPr>
              <w:t>资格，并追究相应的法律责任和</w:t>
            </w:r>
            <w:r>
              <w:rPr>
                <w:rFonts w:hint="eastAsia" w:ascii="仿宋_GB2312" w:hAnsi="仿宋_GB2312" w:eastAsia="仿宋_GB2312" w:cs="仿宋_GB2312"/>
                <w:color w:val="auto"/>
                <w:kern w:val="2"/>
                <w:sz w:val="32"/>
                <w:szCs w:val="32"/>
                <w:highlight w:val="none"/>
                <w:lang w:val="en-US" w:eastAsia="zh-CN"/>
              </w:rPr>
              <w:t>没收保证金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2"/>
                <w:sz w:val="32"/>
                <w:szCs w:val="32"/>
                <w:highlight w:val="none"/>
              </w:rPr>
              <w:t>合同履约能力专项承诺函</w:t>
            </w:r>
            <w:r>
              <w:rPr>
                <w:rFonts w:hint="eastAsia" w:ascii="仿宋_GB2312" w:hAnsi="仿宋_GB2312" w:eastAsia="仿宋_GB2312" w:cs="仿宋_GB2312"/>
                <w:color w:val="auto"/>
                <w:kern w:val="0"/>
                <w:sz w:val="32"/>
                <w:szCs w:val="32"/>
                <w:highlight w:val="none"/>
                <w:lang w:eastAsia="zh-CN"/>
              </w:rPr>
              <w:t>原件须胶装在技术商务正本中，否则本项不得分</w:t>
            </w:r>
            <w:r>
              <w:rPr>
                <w:rFonts w:hint="eastAsia" w:ascii="仿宋_GB2312" w:hAnsi="仿宋_GB2312" w:eastAsia="仿宋_GB2312" w:cs="仿宋_GB2312"/>
                <w:color w:val="auto"/>
                <w:kern w:val="2"/>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1"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B6：履约能力2</w:t>
            </w:r>
          </w:p>
        </w:tc>
        <w:tc>
          <w:tcPr>
            <w:tcW w:w="612" w:type="pct"/>
            <w:noWrap w:val="0"/>
            <w:vAlign w:val="center"/>
          </w:tcPr>
          <w:p>
            <w:pPr>
              <w:keepNext w:val="0"/>
              <w:keepLines w:val="0"/>
              <w:pageBreakBefore w:val="0"/>
              <w:widowControl/>
              <w:kinsoku/>
              <w:overflowPunct/>
              <w:autoSpaceDE/>
              <w:autoSpaceDN/>
              <w:bidi w:val="0"/>
              <w:snapToGrid/>
              <w:spacing w:line="60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Cs w:val="0"/>
                <w:color w:val="auto"/>
                <w:sz w:val="32"/>
                <w:szCs w:val="32"/>
                <w:highlight w:val="none"/>
                <w:lang w:val="en-US" w:eastAsia="zh-CN"/>
              </w:rPr>
              <w:t>2分</w:t>
            </w:r>
          </w:p>
        </w:tc>
        <w:tc>
          <w:tcPr>
            <w:tcW w:w="3686" w:type="pct"/>
            <w:noWrap w:val="0"/>
            <w:vAlign w:val="center"/>
          </w:tcPr>
          <w:p>
            <w:pPr>
              <w:keepNext w:val="0"/>
              <w:keepLines w:val="0"/>
              <w:pageBreakBefore w:val="0"/>
              <w:widowControl/>
              <w:kinsoku/>
              <w:overflowPunct/>
              <w:autoSpaceDE/>
              <w:autoSpaceDN/>
              <w:bidi w:val="0"/>
              <w:spacing w:line="600" w:lineRule="exact"/>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eastAsia="zh-CN"/>
              </w:rPr>
              <w:t>报名方</w:t>
            </w:r>
            <w:r>
              <w:rPr>
                <w:rFonts w:hint="eastAsia" w:ascii="仿宋_GB2312" w:hAnsi="仿宋_GB2312" w:eastAsia="仿宋_GB2312" w:cs="仿宋_GB2312"/>
                <w:color w:val="auto"/>
                <w:kern w:val="2"/>
                <w:sz w:val="32"/>
                <w:szCs w:val="32"/>
                <w:highlight w:val="none"/>
              </w:rPr>
              <w:t>近</w:t>
            </w:r>
            <w:r>
              <w:rPr>
                <w:rFonts w:hint="eastAsia" w:ascii="仿宋_GB2312" w:hAnsi="仿宋_GB2312" w:eastAsia="仿宋_GB2312" w:cs="仿宋_GB2312"/>
                <w:color w:val="auto"/>
                <w:kern w:val="0"/>
                <w:sz w:val="32"/>
                <w:szCs w:val="32"/>
                <w:highlight w:val="none"/>
                <w:lang w:eastAsia="zh-CN"/>
              </w:rPr>
              <w:t>三</w:t>
            </w:r>
            <w:r>
              <w:rPr>
                <w:rFonts w:hint="eastAsia" w:ascii="仿宋_GB2312" w:hAnsi="仿宋_GB2312" w:eastAsia="仿宋_GB2312" w:cs="仿宋_GB2312"/>
                <w:color w:val="auto"/>
                <w:kern w:val="2"/>
                <w:sz w:val="32"/>
                <w:szCs w:val="32"/>
                <w:highlight w:val="none"/>
              </w:rPr>
              <w:t>年内未出现</w:t>
            </w:r>
            <w:r>
              <w:rPr>
                <w:rFonts w:hint="eastAsia" w:ascii="仿宋_GB2312" w:hAnsi="仿宋_GB2312" w:eastAsia="仿宋_GB2312" w:cs="仿宋_GB2312"/>
                <w:color w:val="auto"/>
                <w:kern w:val="0"/>
                <w:sz w:val="32"/>
                <w:szCs w:val="32"/>
                <w:highlight w:val="none"/>
                <w:lang w:eastAsia="zh-CN"/>
              </w:rPr>
              <w:t>被相关行政部门批评通报的情形</w:t>
            </w:r>
            <w:r>
              <w:rPr>
                <w:rFonts w:hint="eastAsia" w:ascii="仿宋_GB2312" w:hAnsi="仿宋_GB2312" w:eastAsia="仿宋_GB2312" w:cs="仿宋_GB2312"/>
                <w:color w:val="auto"/>
                <w:kern w:val="2"/>
                <w:sz w:val="32"/>
                <w:szCs w:val="32"/>
                <w:highlight w:val="none"/>
              </w:rPr>
              <w:t>的得</w:t>
            </w: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rPr>
              <w:t>分，</w:t>
            </w:r>
            <w:r>
              <w:rPr>
                <w:rFonts w:hint="eastAsia" w:ascii="仿宋_GB2312" w:hAnsi="仿宋_GB2312" w:eastAsia="仿宋_GB2312" w:cs="仿宋_GB2312"/>
                <w:color w:val="auto"/>
                <w:kern w:val="2"/>
                <w:sz w:val="32"/>
                <w:szCs w:val="32"/>
                <w:highlight w:val="none"/>
                <w:lang w:val="en-US" w:eastAsia="zh-CN"/>
              </w:rPr>
              <w:t>提供承诺函，</w:t>
            </w:r>
            <w:r>
              <w:rPr>
                <w:rFonts w:hint="eastAsia" w:ascii="仿宋_GB2312" w:hAnsi="仿宋_GB2312" w:eastAsia="仿宋_GB2312" w:cs="仿宋_GB2312"/>
                <w:color w:val="auto"/>
                <w:kern w:val="2"/>
                <w:sz w:val="32"/>
                <w:szCs w:val="32"/>
                <w:highlight w:val="none"/>
              </w:rPr>
              <w:t>否则不得分</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0"/>
                <w:sz w:val="32"/>
                <w:szCs w:val="32"/>
                <w:highlight w:val="none"/>
                <w:lang w:eastAsia="zh-CN"/>
              </w:rPr>
              <w:t>报名方</w:t>
            </w:r>
            <w:r>
              <w:rPr>
                <w:rFonts w:hint="eastAsia" w:ascii="仿宋_GB2312" w:hAnsi="仿宋_GB2312" w:eastAsia="仿宋_GB2312" w:cs="仿宋_GB2312"/>
                <w:color w:val="auto"/>
                <w:kern w:val="2"/>
                <w:sz w:val="32"/>
                <w:szCs w:val="32"/>
                <w:highlight w:val="none"/>
              </w:rPr>
              <w:t>须如实提供专项承诺函</w:t>
            </w:r>
            <w:r>
              <w:rPr>
                <w:rFonts w:hint="eastAsia" w:ascii="仿宋_GB2312" w:hAnsi="仿宋_GB2312" w:eastAsia="仿宋_GB2312" w:cs="仿宋_GB2312"/>
                <w:color w:val="auto"/>
                <w:kern w:val="0"/>
                <w:sz w:val="32"/>
                <w:szCs w:val="32"/>
                <w:highlight w:val="none"/>
                <w:lang w:eastAsia="zh-CN"/>
              </w:rPr>
              <w:t>复印件</w:t>
            </w:r>
            <w:r>
              <w:rPr>
                <w:rFonts w:hint="eastAsia" w:ascii="仿宋_GB2312" w:hAnsi="仿宋_GB2312" w:eastAsia="仿宋_GB2312" w:cs="仿宋_GB2312"/>
                <w:color w:val="auto"/>
                <w:kern w:val="2"/>
                <w:sz w:val="32"/>
                <w:szCs w:val="32"/>
                <w:highlight w:val="none"/>
              </w:rPr>
              <w:t>并加盖公章，如果发现虚假承诺，取消其中标资格，并追究相应的法律责任和</w:t>
            </w:r>
            <w:r>
              <w:rPr>
                <w:rFonts w:hint="eastAsia" w:ascii="仿宋_GB2312" w:hAnsi="仿宋_GB2312" w:eastAsia="仿宋_GB2312" w:cs="仿宋_GB2312"/>
                <w:color w:val="auto"/>
                <w:kern w:val="2"/>
                <w:sz w:val="32"/>
                <w:szCs w:val="32"/>
                <w:highlight w:val="none"/>
                <w:lang w:val="en-US" w:eastAsia="zh-CN"/>
              </w:rPr>
              <w:t>没收保证金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2"/>
                <w:sz w:val="32"/>
                <w:szCs w:val="32"/>
                <w:highlight w:val="none"/>
              </w:rPr>
              <w:t>专项承诺函</w:t>
            </w:r>
            <w:r>
              <w:rPr>
                <w:rFonts w:hint="eastAsia" w:ascii="仿宋_GB2312" w:hAnsi="仿宋_GB2312" w:eastAsia="仿宋_GB2312" w:cs="仿宋_GB2312"/>
                <w:color w:val="auto"/>
                <w:kern w:val="0"/>
                <w:sz w:val="32"/>
                <w:szCs w:val="32"/>
                <w:highlight w:val="none"/>
                <w:lang w:eastAsia="zh-CN"/>
              </w:rPr>
              <w:t>原件须胶装在技术商务正本中，否则本项不得分</w:t>
            </w:r>
            <w:r>
              <w:rPr>
                <w:rFonts w:hint="eastAsia" w:ascii="仿宋_GB2312" w:hAnsi="仿宋_GB2312" w:eastAsia="仿宋_GB2312" w:cs="仿宋_GB2312"/>
                <w:color w:val="auto"/>
                <w:kern w:val="2"/>
                <w:sz w:val="32"/>
                <w:szCs w:val="32"/>
                <w:highlight w:val="none"/>
              </w:rPr>
              <w:t>）</w:t>
            </w:r>
          </w:p>
        </w:tc>
      </w:tr>
    </w:tbl>
    <w:p>
      <w:pPr>
        <w:keepNext w:val="0"/>
        <w:keepLines w:val="0"/>
        <w:pageBreakBefore w:val="0"/>
        <w:kinsoku/>
        <w:overflowPunct/>
        <w:autoSpaceDE/>
        <w:autoSpaceDN/>
        <w:bidi w:val="0"/>
        <w:spacing w:line="600" w:lineRule="exact"/>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bCs/>
          <w:sz w:val="32"/>
          <w:szCs w:val="32"/>
          <w:highlight w:val="none"/>
          <w:lang w:eastAsia="zh-CN"/>
        </w:rPr>
        <w:t>报名方</w:t>
      </w:r>
      <w:r>
        <w:rPr>
          <w:rFonts w:hint="eastAsia" w:ascii="仿宋_GB2312" w:hAnsi="仿宋_GB2312" w:eastAsia="仿宋_GB2312" w:cs="仿宋_GB2312"/>
          <w:bCs/>
          <w:sz w:val="32"/>
          <w:szCs w:val="32"/>
          <w:highlight w:val="none"/>
        </w:rPr>
        <w:t>商务部分得分B=</w:t>
      </w:r>
      <w:r>
        <w:rPr>
          <w:rFonts w:hint="eastAsia" w:ascii="仿宋_GB2312" w:hAnsi="仿宋_GB2312" w:eastAsia="仿宋_GB2312" w:cs="仿宋_GB2312"/>
          <w:color w:val="auto"/>
          <w:sz w:val="32"/>
          <w:szCs w:val="32"/>
          <w:highlight w:val="none"/>
        </w:rPr>
        <w:t>B1＋B2＋B3</w:t>
      </w:r>
      <w:r>
        <w:rPr>
          <w:rFonts w:hint="eastAsia" w:ascii="仿宋_GB2312" w:hAnsi="仿宋_GB2312" w:eastAsia="仿宋_GB2312" w:cs="仿宋_GB2312"/>
          <w:color w:val="auto"/>
          <w:sz w:val="32"/>
          <w:szCs w:val="32"/>
          <w:highlight w:val="none"/>
          <w:lang w:val="en-US" w:eastAsia="zh-CN"/>
        </w:rPr>
        <w:t>+B4+B5+B6</w:t>
      </w:r>
    </w:p>
    <w:p>
      <w:pPr>
        <w:keepNext w:val="0"/>
        <w:keepLines w:val="0"/>
        <w:pageBreakBefore w:val="0"/>
        <w:kinsoku/>
        <w:overflowPunct/>
        <w:autoSpaceDE/>
        <w:autoSpaceDN/>
        <w:bidi w:val="0"/>
        <w:snapToGrid w:val="0"/>
        <w:spacing w:line="600" w:lineRule="exac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C:报价部分评分办法（满分30分）</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eastAsia" w:ascii="仿宋_GB2312" w:hAnsi="仿宋_GB2312" w:eastAsia="仿宋_GB2312" w:cs="仿宋_GB2312"/>
          <w:strike w:val="0"/>
          <w:color w:val="000000"/>
          <w:kern w:val="2"/>
          <w:sz w:val="32"/>
          <w:szCs w:val="32"/>
          <w:highlight w:val="none"/>
          <w:lang w:val="en-US" w:eastAsia="zh-CN"/>
        </w:rPr>
      </w:pPr>
      <w:r>
        <w:rPr>
          <w:rFonts w:hint="eastAsia" w:ascii="仿宋_GB2312" w:hAnsi="仿宋_GB2312" w:eastAsia="仿宋_GB2312" w:cs="仿宋_GB2312"/>
          <w:strike w:val="0"/>
          <w:dstrike w:val="0"/>
          <w:color w:val="000000"/>
          <w:kern w:val="2"/>
          <w:sz w:val="32"/>
          <w:szCs w:val="32"/>
          <w:highlight w:val="none"/>
          <w:lang w:eastAsia="zh-CN"/>
        </w:rPr>
        <w:t>报价方式：</w:t>
      </w:r>
      <w:r>
        <w:rPr>
          <w:rFonts w:hint="eastAsia" w:ascii="仿宋_GB2312" w:hAnsi="仿宋_GB2312" w:eastAsia="仿宋_GB2312" w:cs="仿宋_GB2312"/>
          <w:strike w:val="0"/>
          <w:color w:val="000000"/>
          <w:kern w:val="2"/>
          <w:sz w:val="32"/>
          <w:szCs w:val="32"/>
          <w:highlight w:val="none"/>
          <w:lang w:val="en-US" w:eastAsia="zh-CN"/>
        </w:rPr>
        <w:t>报名方对本项目正式运营后5年内的每年年营业额、我司每年分成比例及我司每年保底收益分成金额进行报价，第n合同年营业额为An，我司分成比例第n合同年为Bn，第n合同年我司收益分成Cn（</w:t>
      </w:r>
      <w:r>
        <w:rPr>
          <w:rFonts w:hint="eastAsia" w:ascii="仿宋_GB2312" w:hAnsi="仿宋_GB2312" w:eastAsia="仿宋_GB2312" w:cs="仿宋_GB2312"/>
          <w:color w:val="000000"/>
          <w:sz w:val="32"/>
          <w:szCs w:val="32"/>
          <w:highlight w:val="none"/>
          <w:lang w:val="en-US" w:eastAsia="zh-CN"/>
        </w:rPr>
        <w:t>Cn=An×Bn</w:t>
      </w:r>
      <w:r>
        <w:rPr>
          <w:rFonts w:hint="eastAsia" w:ascii="仿宋_GB2312" w:hAnsi="仿宋_GB2312" w:eastAsia="仿宋_GB2312" w:cs="仿宋_GB2312"/>
          <w:strike w:val="0"/>
          <w:color w:val="000000"/>
          <w:kern w:val="2"/>
          <w:sz w:val="32"/>
          <w:szCs w:val="32"/>
          <w:highlight w:val="none"/>
          <w:lang w:val="en-US" w:eastAsia="zh-CN"/>
        </w:rPr>
        <w:t>）,n为年数，具体报价情况详见附件《报价表》，报名方严格按照《报价表》格式及内容进行报价，营业额An</w:t>
      </w:r>
      <w:r>
        <w:rPr>
          <w:rFonts w:hint="eastAsia" w:ascii="仿宋_GB2312" w:hAnsi="仿宋_GB2312" w:eastAsia="仿宋_GB2312" w:cs="仿宋_GB2312"/>
          <w:color w:val="000000"/>
          <w:sz w:val="32"/>
          <w:szCs w:val="32"/>
          <w:highlight w:val="none"/>
          <w:lang w:val="en-US" w:eastAsia="zh-CN"/>
        </w:rPr>
        <w:t>均不得低于400万元，</w:t>
      </w:r>
      <w:r>
        <w:rPr>
          <w:rFonts w:hint="eastAsia" w:ascii="仿宋_GB2312" w:hAnsi="仿宋_GB2312" w:eastAsia="仿宋_GB2312" w:cs="仿宋_GB2312"/>
          <w:strike w:val="0"/>
          <w:color w:val="000000"/>
          <w:kern w:val="2"/>
          <w:sz w:val="32"/>
          <w:szCs w:val="32"/>
          <w:highlight w:val="none"/>
          <w:lang w:val="en-US" w:eastAsia="zh-CN"/>
        </w:rPr>
        <w:t>分成比例Bn均不得低于10%，Cn均不得低于40万元，An</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trike w:val="0"/>
          <w:color w:val="000000"/>
          <w:kern w:val="2"/>
          <w:sz w:val="32"/>
          <w:szCs w:val="32"/>
          <w:highlight w:val="none"/>
          <w:lang w:val="en-US" w:eastAsia="zh-CN"/>
        </w:rPr>
        <w:t>Bn可前后持平或递增，否则视为无效报价。（备注：</w:t>
      </w:r>
      <w:r>
        <w:rPr>
          <w:rFonts w:hint="eastAsia" w:ascii="仿宋_GB2312" w:hAnsi="仿宋_GB2312" w:eastAsia="仿宋_GB2312" w:cs="仿宋_GB2312"/>
          <w:b w:val="0"/>
          <w:color w:val="000000"/>
          <w:sz w:val="32"/>
          <w:szCs w:val="32"/>
          <w:highlight w:val="none"/>
          <w:lang w:val="en-US" w:eastAsia="zh-CN"/>
        </w:rPr>
        <w:t>合作期间项目实际年营业额低于报名方报价的年营业额（An）时，按照报价的年营业额（An）结算我司的保底分成收益；实际年营业额超出报名方报价的年营业额（An）时，我司按照上述标准收取保底分成收益后，超额部分前三年按照我司3%:报名方97%比例分成，第四年起按照我司5%:报名方95%比例分成。具体详见合同条款。</w:t>
      </w:r>
      <w:r>
        <w:rPr>
          <w:rFonts w:hint="eastAsia" w:ascii="仿宋_GB2312" w:hAnsi="仿宋_GB2312" w:eastAsia="仿宋_GB2312" w:cs="仿宋_GB2312"/>
          <w:strike w:val="0"/>
          <w:color w:val="000000"/>
          <w:kern w:val="2"/>
          <w:sz w:val="32"/>
          <w:szCs w:val="32"/>
          <w:highlight w:val="none"/>
          <w:lang w:val="en-US" w:eastAsia="zh-CN"/>
        </w:rPr>
        <w:t>）</w:t>
      </w:r>
    </w:p>
    <w:p>
      <w:pPr>
        <w:pStyle w:val="12"/>
        <w:keepNext w:val="0"/>
        <w:keepLines w:val="0"/>
        <w:pageBreakBefore w:val="0"/>
        <w:widowControl w:val="0"/>
        <w:kinsoku/>
        <w:wordWrap/>
        <w:overflowPunct/>
        <w:topLinePunct w:val="0"/>
        <w:autoSpaceDE/>
        <w:autoSpaceDN/>
        <w:bidi w:val="0"/>
        <w:spacing w:line="600" w:lineRule="exact"/>
        <w:ind w:right="0"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trike w:val="0"/>
          <w:color w:val="auto"/>
          <w:kern w:val="2"/>
          <w:sz w:val="32"/>
          <w:szCs w:val="32"/>
          <w:highlight w:val="none"/>
          <w:lang w:val="en-US" w:eastAsia="zh-CN"/>
        </w:rPr>
        <w:t>评分办法：按照ΣCn=C1+...Cn进行排名，第一名得分为30分；后续排名得分为=（ΣCn</w:t>
      </w:r>
      <w:r>
        <w:rPr>
          <w:rFonts w:hint="eastAsia" w:ascii="仿宋_GB2312" w:hAnsi="仿宋_GB2312" w:eastAsia="仿宋_GB2312" w:cs="仿宋_GB2312"/>
          <w:strike w:val="0"/>
          <w:color w:val="auto"/>
          <w:kern w:val="2"/>
          <w:sz w:val="32"/>
          <w:szCs w:val="32"/>
          <w:highlight w:val="none"/>
          <w:vertAlign w:val="subscript"/>
          <w:lang w:val="en-US" w:eastAsia="zh-CN"/>
        </w:rPr>
        <w:t>（第n名）</w:t>
      </w:r>
      <w:r>
        <w:rPr>
          <w:rFonts w:hint="eastAsia" w:ascii="仿宋_GB2312" w:hAnsi="仿宋_GB2312" w:eastAsia="仿宋_GB2312" w:cs="仿宋_GB2312"/>
          <w:strike w:val="0"/>
          <w:color w:val="auto"/>
          <w:kern w:val="2"/>
          <w:sz w:val="32"/>
          <w:szCs w:val="32"/>
          <w:highlight w:val="none"/>
          <w:lang w:val="en-US" w:eastAsia="zh-CN"/>
        </w:rPr>
        <w:t>/ΣCn</w:t>
      </w:r>
      <w:r>
        <w:rPr>
          <w:rFonts w:hint="eastAsia" w:ascii="仿宋_GB2312" w:hAnsi="仿宋_GB2312" w:eastAsia="仿宋_GB2312" w:cs="仿宋_GB2312"/>
          <w:strike w:val="0"/>
          <w:color w:val="auto"/>
          <w:kern w:val="2"/>
          <w:sz w:val="32"/>
          <w:szCs w:val="32"/>
          <w:highlight w:val="none"/>
          <w:vertAlign w:val="subscript"/>
          <w:lang w:val="en-US" w:eastAsia="zh-CN"/>
        </w:rPr>
        <w:t>（第一名）</w:t>
      </w:r>
      <w:r>
        <w:rPr>
          <w:rFonts w:hint="eastAsia" w:ascii="仿宋_GB2312" w:hAnsi="仿宋_GB2312" w:eastAsia="仿宋_GB2312" w:cs="仿宋_GB2312"/>
          <w:strike w:val="0"/>
          <w:color w:val="auto"/>
          <w:kern w:val="2"/>
          <w:sz w:val="32"/>
          <w:szCs w:val="32"/>
          <w:highlight w:val="none"/>
          <w:lang w:val="en-US" w:eastAsia="zh-CN"/>
        </w:rPr>
        <w:t>）*30。</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color w:val="000000"/>
          <w:sz w:val="32"/>
          <w:szCs w:val="32"/>
          <w:highlight w:val="none"/>
        </w:rPr>
        <w:t>价格、技术和商务部分</w:t>
      </w:r>
      <w:r>
        <w:rPr>
          <w:rFonts w:hint="eastAsia" w:ascii="仿宋_GB2312" w:hAnsi="仿宋_GB2312" w:eastAsia="仿宋_GB2312" w:cs="仿宋_GB2312"/>
          <w:color w:val="000000"/>
          <w:sz w:val="32"/>
          <w:szCs w:val="32"/>
          <w:highlight w:val="none"/>
          <w:lang w:eastAsia="zh-CN"/>
        </w:rPr>
        <w:t>综合</w:t>
      </w:r>
      <w:r>
        <w:rPr>
          <w:rFonts w:hint="eastAsia" w:ascii="仿宋_GB2312" w:hAnsi="仿宋_GB2312" w:eastAsia="仿宋_GB2312" w:cs="仿宋_GB2312"/>
          <w:color w:val="000000"/>
          <w:sz w:val="32"/>
          <w:szCs w:val="32"/>
          <w:highlight w:val="none"/>
        </w:rPr>
        <w:t>得分等于=A+B+C</w:t>
      </w:r>
    </w:p>
    <w:p>
      <w:pPr>
        <w:pStyle w:val="6"/>
        <w:keepNext w:val="0"/>
        <w:keepLines w:val="0"/>
        <w:pageBreakBefore w:val="0"/>
        <w:widowControl w:val="0"/>
        <w:kinsoku/>
        <w:wordWrap/>
        <w:overflowPunct/>
        <w:topLinePunct w:val="0"/>
        <w:autoSpaceDE/>
        <w:autoSpaceDN/>
        <w:bidi w:val="0"/>
        <w:spacing w:line="600" w:lineRule="exact"/>
        <w:ind w:right="0"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val="en-US" w:eastAsia="zh-CN"/>
        </w:rPr>
        <w:t>确定</w:t>
      </w:r>
      <w:r>
        <w:rPr>
          <w:rFonts w:hint="eastAsia" w:ascii="仿宋_GB2312" w:hAnsi="仿宋_GB2312" w:eastAsia="仿宋_GB2312" w:cs="仿宋_GB2312"/>
          <w:b/>
          <w:bCs/>
          <w:sz w:val="32"/>
          <w:szCs w:val="32"/>
          <w:highlight w:val="none"/>
        </w:rPr>
        <w:t>原则：</w:t>
      </w:r>
    </w:p>
    <w:p>
      <w:pPr>
        <w:pStyle w:val="6"/>
        <w:keepNext w:val="0"/>
        <w:keepLines w:val="0"/>
        <w:pageBreakBefore w:val="0"/>
        <w:widowControl w:val="0"/>
        <w:kinsoku/>
        <w:wordWrap/>
        <w:overflowPunct/>
        <w:topLinePunct w:val="0"/>
        <w:autoSpaceDE/>
        <w:autoSpaceDN/>
        <w:bidi w:val="0"/>
        <w:spacing w:line="600" w:lineRule="exact"/>
        <w:ind w:righ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评分</w:t>
      </w:r>
      <w:r>
        <w:rPr>
          <w:rFonts w:hint="eastAsia" w:ascii="仿宋_GB2312" w:hAnsi="仿宋_GB2312" w:eastAsia="仿宋_GB2312" w:cs="仿宋_GB2312"/>
          <w:sz w:val="32"/>
          <w:szCs w:val="32"/>
          <w:highlight w:val="none"/>
        </w:rPr>
        <w:t>小组分别与</w:t>
      </w:r>
      <w:r>
        <w:rPr>
          <w:rFonts w:hint="eastAsia" w:ascii="仿宋_GB2312" w:hAnsi="仿宋_GB2312" w:eastAsia="仿宋_GB2312" w:cs="仿宋_GB2312"/>
          <w:sz w:val="32"/>
          <w:szCs w:val="32"/>
          <w:highlight w:val="none"/>
          <w:lang w:val="en-US" w:eastAsia="zh-CN"/>
        </w:rPr>
        <w:t>资格审查合格通过并</w:t>
      </w:r>
      <w:r>
        <w:rPr>
          <w:rFonts w:hint="eastAsia" w:ascii="仿宋" w:hAnsi="仿宋" w:eastAsia="仿宋" w:cs="仿宋"/>
          <w:i w:val="0"/>
          <w:caps w:val="0"/>
          <w:color w:val="000000"/>
          <w:spacing w:val="0"/>
          <w:sz w:val="32"/>
          <w:szCs w:val="32"/>
          <w:highlight w:val="none"/>
          <w:shd w:val="clear" w:color="auto" w:fill="FFFFFF"/>
          <w:lang w:val="en-US" w:eastAsia="zh-CN"/>
        </w:rPr>
        <w:t>提交招商合作方案</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报名方</w:t>
      </w:r>
      <w:r>
        <w:rPr>
          <w:rFonts w:hint="eastAsia" w:ascii="仿宋_GB2312" w:hAnsi="仿宋_GB2312" w:eastAsia="仿宋_GB2312" w:cs="仿宋_GB2312"/>
          <w:sz w:val="32"/>
          <w:szCs w:val="32"/>
          <w:highlight w:val="none"/>
        </w:rPr>
        <w:t>进行磋商</w:t>
      </w:r>
      <w:r>
        <w:rPr>
          <w:rFonts w:hint="eastAsia" w:ascii="仿宋_GB2312" w:hAnsi="仿宋_GB2312" w:eastAsia="仿宋_GB2312" w:cs="仿宋_GB2312"/>
          <w:sz w:val="32"/>
          <w:szCs w:val="32"/>
          <w:highlight w:val="none"/>
          <w:lang w:val="en-US" w:eastAsia="zh-CN"/>
        </w:rPr>
        <w:t>谈判</w:t>
      </w:r>
      <w:r>
        <w:rPr>
          <w:rFonts w:hint="eastAsia" w:ascii="仿宋_GB2312" w:hAnsi="仿宋_GB2312" w:eastAsia="仿宋_GB2312" w:cs="仿宋_GB2312"/>
          <w:sz w:val="32"/>
          <w:szCs w:val="32"/>
          <w:highlight w:val="none"/>
        </w:rPr>
        <w:t>，提供给</w:t>
      </w:r>
      <w:r>
        <w:rPr>
          <w:rFonts w:hint="eastAsia" w:ascii="仿宋_GB2312" w:hAnsi="仿宋_GB2312" w:eastAsia="仿宋_GB2312" w:cs="仿宋_GB2312"/>
          <w:sz w:val="32"/>
          <w:szCs w:val="32"/>
          <w:highlight w:val="none"/>
          <w:lang w:eastAsia="zh-CN"/>
        </w:rPr>
        <w:t>报名方</w:t>
      </w:r>
      <w:r>
        <w:rPr>
          <w:rFonts w:hint="eastAsia" w:ascii="仿宋_GB2312" w:hAnsi="仿宋_GB2312" w:eastAsia="仿宋_GB2312" w:cs="仿宋_GB2312"/>
          <w:sz w:val="32"/>
          <w:szCs w:val="32"/>
          <w:highlight w:val="none"/>
        </w:rPr>
        <w:t>平等参与的机会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磋商谈判后</w:t>
      </w:r>
      <w:r>
        <w:rPr>
          <w:rFonts w:hint="eastAsia" w:ascii="仿宋" w:hAnsi="仿宋" w:eastAsia="仿宋" w:cs="仿宋"/>
          <w:i w:val="0"/>
          <w:caps w:val="0"/>
          <w:color w:val="000000"/>
          <w:spacing w:val="0"/>
          <w:sz w:val="32"/>
          <w:szCs w:val="32"/>
          <w:highlight w:val="none"/>
          <w:shd w:val="clear" w:color="auto" w:fill="FFFFFF"/>
          <w:lang w:val="en-US" w:eastAsia="zh-CN"/>
        </w:rPr>
        <w:t>所有资格审查合格通过</w:t>
      </w:r>
      <w:r>
        <w:rPr>
          <w:rFonts w:hint="eastAsia" w:ascii="仿宋_GB2312" w:hAnsi="仿宋_GB2312" w:eastAsia="仿宋_GB2312" w:cs="仿宋_GB2312"/>
          <w:sz w:val="32"/>
          <w:szCs w:val="32"/>
          <w:highlight w:val="none"/>
          <w:lang w:val="en-US" w:eastAsia="zh-CN"/>
        </w:rPr>
        <w:t>并</w:t>
      </w:r>
      <w:r>
        <w:rPr>
          <w:rFonts w:hint="eastAsia" w:ascii="仿宋" w:hAnsi="仿宋" w:eastAsia="仿宋" w:cs="仿宋"/>
          <w:i w:val="0"/>
          <w:caps w:val="0"/>
          <w:color w:val="000000"/>
          <w:spacing w:val="0"/>
          <w:sz w:val="32"/>
          <w:szCs w:val="32"/>
          <w:highlight w:val="none"/>
          <w:shd w:val="clear" w:color="auto" w:fill="FFFFFF"/>
          <w:lang w:val="en-US" w:eastAsia="zh-CN"/>
        </w:rPr>
        <w:t>提交招商合作方案的报名方</w:t>
      </w:r>
      <w:r>
        <w:rPr>
          <w:rFonts w:hint="eastAsia" w:ascii="仿宋_GB2312" w:hAnsi="仿宋_GB2312" w:eastAsia="仿宋_GB2312" w:cs="仿宋_GB2312"/>
          <w:sz w:val="32"/>
          <w:szCs w:val="32"/>
          <w:highlight w:val="none"/>
        </w:rPr>
        <w:t>均应进行第二次报价，第二次报价</w:t>
      </w:r>
      <w:r>
        <w:rPr>
          <w:rFonts w:hint="eastAsia" w:ascii="仿宋_GB2312" w:hAnsi="仿宋_GB2312" w:eastAsia="仿宋_GB2312" w:cs="仿宋_GB2312"/>
          <w:sz w:val="32"/>
          <w:szCs w:val="32"/>
          <w:highlight w:val="none"/>
          <w:lang w:val="en-US" w:eastAsia="zh-CN"/>
        </w:rPr>
        <w:t>不得低于</w:t>
      </w:r>
      <w:r>
        <w:rPr>
          <w:rFonts w:hint="eastAsia" w:ascii="仿宋_GB2312" w:hAnsi="仿宋_GB2312" w:eastAsia="仿宋_GB2312" w:cs="仿宋_GB2312"/>
          <w:sz w:val="32"/>
          <w:szCs w:val="32"/>
          <w:highlight w:val="none"/>
        </w:rPr>
        <w:t>第一次报价，第二次报价若</w:t>
      </w:r>
      <w:r>
        <w:rPr>
          <w:rFonts w:hint="eastAsia" w:ascii="仿宋_GB2312" w:hAnsi="仿宋_GB2312" w:eastAsia="仿宋_GB2312" w:cs="仿宋_GB2312"/>
          <w:sz w:val="32"/>
          <w:szCs w:val="32"/>
          <w:highlight w:val="none"/>
          <w:lang w:val="en-US" w:eastAsia="zh-CN"/>
        </w:rPr>
        <w:t>低于</w:t>
      </w:r>
      <w:r>
        <w:rPr>
          <w:rFonts w:hint="eastAsia" w:ascii="仿宋_GB2312" w:hAnsi="仿宋_GB2312" w:eastAsia="仿宋_GB2312" w:cs="仿宋_GB2312"/>
          <w:sz w:val="32"/>
          <w:szCs w:val="32"/>
          <w:highlight w:val="none"/>
        </w:rPr>
        <w:t>第一次报价以其第一次报价为准</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未进行第二次报价或放弃第二次报价的</w:t>
      </w:r>
      <w:r>
        <w:rPr>
          <w:rFonts w:hint="eastAsia" w:ascii="仿宋_GB2312" w:hAnsi="仿宋_GB2312" w:eastAsia="仿宋_GB2312" w:cs="仿宋_GB2312"/>
          <w:sz w:val="32"/>
          <w:szCs w:val="32"/>
          <w:highlight w:val="none"/>
          <w:lang w:eastAsia="zh-CN"/>
        </w:rPr>
        <w:t>报名方</w:t>
      </w:r>
      <w:r>
        <w:rPr>
          <w:rFonts w:hint="eastAsia" w:ascii="仿宋_GB2312" w:hAnsi="仿宋_GB2312" w:eastAsia="仿宋_GB2312" w:cs="仿宋_GB2312"/>
          <w:sz w:val="32"/>
          <w:szCs w:val="32"/>
          <w:highlight w:val="none"/>
        </w:rPr>
        <w:t>以其第一次报价为准。</w:t>
      </w:r>
      <w:r>
        <w:rPr>
          <w:rFonts w:hint="eastAsia" w:ascii="仿宋_GB2312" w:hAnsi="仿宋_GB2312" w:eastAsia="仿宋_GB2312" w:cs="仿宋_GB2312"/>
          <w:sz w:val="32"/>
          <w:szCs w:val="32"/>
          <w:highlight w:val="none"/>
          <w:lang w:val="en-US" w:eastAsia="zh-CN"/>
        </w:rPr>
        <w:t>评分</w:t>
      </w:r>
      <w:r>
        <w:rPr>
          <w:rFonts w:hint="eastAsia" w:ascii="仿宋_GB2312" w:hAnsi="仿宋_GB2312" w:eastAsia="仿宋_GB2312" w:cs="仿宋_GB2312"/>
          <w:sz w:val="32"/>
          <w:szCs w:val="32"/>
          <w:highlight w:val="none"/>
        </w:rPr>
        <w:t>小组</w:t>
      </w: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rPr>
        <w:t>确定</w:t>
      </w:r>
      <w:r>
        <w:rPr>
          <w:rFonts w:hint="eastAsia" w:ascii="仿宋_GB2312" w:hAnsi="仿宋_GB2312" w:eastAsia="仿宋_GB2312" w:cs="仿宋_GB2312"/>
          <w:sz w:val="32"/>
          <w:szCs w:val="32"/>
          <w:highlight w:val="none"/>
          <w:lang w:eastAsia="zh-CN"/>
        </w:rPr>
        <w:t>的报价计算报价部分评分。</w:t>
      </w:r>
    </w:p>
    <w:p>
      <w:pPr>
        <w:pStyle w:val="6"/>
        <w:keepNext w:val="0"/>
        <w:keepLines w:val="0"/>
        <w:pageBreakBefore w:val="0"/>
        <w:widowControl w:val="0"/>
        <w:kinsoku/>
        <w:wordWrap/>
        <w:overflowPunct/>
        <w:topLinePunct w:val="0"/>
        <w:autoSpaceDE/>
        <w:autoSpaceDN/>
        <w:bidi w:val="0"/>
        <w:spacing w:line="600"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磋商</w:t>
      </w:r>
      <w:r>
        <w:rPr>
          <w:rFonts w:hint="eastAsia" w:ascii="仿宋_GB2312" w:hAnsi="仿宋_GB2312" w:eastAsia="仿宋_GB2312" w:cs="仿宋_GB2312"/>
          <w:sz w:val="32"/>
          <w:szCs w:val="32"/>
          <w:highlight w:val="none"/>
          <w:lang w:val="en-US" w:eastAsia="zh-CN"/>
        </w:rPr>
        <w:t>谈判</w:t>
      </w:r>
      <w:r>
        <w:rPr>
          <w:rFonts w:hint="eastAsia" w:ascii="仿宋_GB2312" w:hAnsi="仿宋_GB2312" w:eastAsia="仿宋_GB2312" w:cs="仿宋_GB2312"/>
          <w:sz w:val="32"/>
          <w:szCs w:val="32"/>
          <w:highlight w:val="none"/>
        </w:rPr>
        <w:t>结束后，由</w:t>
      </w:r>
      <w:r>
        <w:rPr>
          <w:rFonts w:hint="eastAsia" w:ascii="仿宋_GB2312" w:hAnsi="仿宋_GB2312" w:eastAsia="仿宋_GB2312" w:cs="仿宋_GB2312"/>
          <w:sz w:val="32"/>
          <w:szCs w:val="32"/>
          <w:highlight w:val="none"/>
          <w:lang w:val="en-US" w:eastAsia="zh-CN"/>
        </w:rPr>
        <w:t>我司</w:t>
      </w:r>
      <w:r>
        <w:rPr>
          <w:rFonts w:hint="eastAsia" w:ascii="仿宋_GB2312" w:hAnsi="仿宋_GB2312" w:eastAsia="仿宋_GB2312" w:cs="仿宋_GB2312"/>
          <w:sz w:val="32"/>
          <w:szCs w:val="32"/>
          <w:highlight w:val="none"/>
        </w:rPr>
        <w:t>根据综合得分由高到低</w:t>
      </w:r>
      <w:r>
        <w:rPr>
          <w:rFonts w:hint="eastAsia" w:ascii="仿宋_GB2312" w:hAnsi="仿宋_GB2312" w:eastAsia="仿宋_GB2312" w:cs="仿宋_GB2312"/>
          <w:sz w:val="32"/>
          <w:szCs w:val="32"/>
          <w:highlight w:val="none"/>
          <w:lang w:eastAsia="zh-CN"/>
        </w:rPr>
        <w:t>确定</w:t>
      </w:r>
      <w:r>
        <w:rPr>
          <w:rFonts w:hint="eastAsia" w:ascii="仿宋_GB2312" w:hAnsi="仿宋_GB2312" w:eastAsia="仿宋_GB2312" w:cs="仿宋_GB2312"/>
          <w:sz w:val="32"/>
          <w:szCs w:val="32"/>
          <w:highlight w:val="none"/>
        </w:rPr>
        <w:t>综合得分最高的1名</w:t>
      </w:r>
      <w:r>
        <w:rPr>
          <w:rFonts w:hint="eastAsia" w:ascii="仿宋_GB2312" w:hAnsi="仿宋_GB2312" w:eastAsia="仿宋_GB2312" w:cs="仿宋_GB2312"/>
          <w:sz w:val="32"/>
          <w:szCs w:val="32"/>
          <w:highlight w:val="none"/>
          <w:lang w:eastAsia="zh-CN"/>
        </w:rPr>
        <w:t>报名方</w:t>
      </w:r>
      <w:r>
        <w:rPr>
          <w:rFonts w:hint="eastAsia" w:ascii="仿宋_GB2312" w:hAnsi="仿宋_GB2312" w:eastAsia="仿宋_GB2312" w:cs="仿宋_GB2312"/>
          <w:sz w:val="32"/>
          <w:szCs w:val="32"/>
          <w:highlight w:val="none"/>
        </w:rPr>
        <w:t>为成交</w:t>
      </w:r>
      <w:r>
        <w:rPr>
          <w:rFonts w:hint="eastAsia" w:ascii="仿宋_GB2312" w:hAnsi="仿宋_GB2312" w:eastAsia="仿宋_GB2312" w:cs="仿宋_GB2312"/>
          <w:sz w:val="32"/>
          <w:szCs w:val="32"/>
          <w:highlight w:val="none"/>
          <w:lang w:eastAsia="zh-CN"/>
        </w:rPr>
        <w:t>报名方</w:t>
      </w:r>
      <w:r>
        <w:rPr>
          <w:rFonts w:hint="eastAsia" w:ascii="仿宋_GB2312" w:hAnsi="仿宋_GB2312" w:eastAsia="仿宋_GB2312" w:cs="仿宋_GB2312"/>
          <w:sz w:val="32"/>
          <w:szCs w:val="32"/>
          <w:highlight w:val="none"/>
        </w:rPr>
        <w:t>，并编写</w:t>
      </w:r>
      <w:r>
        <w:rPr>
          <w:rFonts w:hint="eastAsia" w:ascii="仿宋_GB2312" w:hAnsi="仿宋_GB2312" w:eastAsia="仿宋_GB2312" w:cs="仿宋_GB2312"/>
          <w:sz w:val="32"/>
          <w:szCs w:val="32"/>
          <w:highlight w:val="none"/>
          <w:lang w:val="en-US" w:eastAsia="zh-CN"/>
        </w:rPr>
        <w:t>评分</w:t>
      </w:r>
      <w:r>
        <w:rPr>
          <w:rFonts w:hint="eastAsia" w:ascii="仿宋_GB2312" w:hAnsi="仿宋_GB2312" w:eastAsia="仿宋_GB2312" w:cs="仿宋_GB2312"/>
          <w:sz w:val="32"/>
          <w:szCs w:val="32"/>
          <w:highlight w:val="none"/>
        </w:rPr>
        <w:t>报告。评审得分综合得分相同的，名次按照</w:t>
      </w:r>
      <w:r>
        <w:rPr>
          <w:rFonts w:hint="eastAsia" w:ascii="仿宋_GB2312" w:hAnsi="仿宋_GB2312" w:eastAsia="仿宋_GB2312" w:cs="仿宋_GB2312"/>
          <w:sz w:val="32"/>
          <w:szCs w:val="32"/>
          <w:highlight w:val="none"/>
          <w:lang w:eastAsia="zh-CN"/>
        </w:rPr>
        <w:t>确定的</w:t>
      </w:r>
      <w:r>
        <w:rPr>
          <w:rFonts w:hint="eastAsia" w:ascii="仿宋_GB2312" w:hAnsi="仿宋_GB2312" w:eastAsia="仿宋_GB2312" w:cs="仿宋_GB2312"/>
          <w:sz w:val="32"/>
          <w:szCs w:val="32"/>
          <w:highlight w:val="none"/>
        </w:rPr>
        <w:t>报价</w:t>
      </w:r>
      <w:r>
        <w:rPr>
          <w:rFonts w:hint="eastAsia" w:ascii="仿宋_GB2312" w:hAnsi="仿宋_GB2312" w:eastAsia="仿宋_GB2312" w:cs="仿宋_GB2312"/>
          <w:sz w:val="32"/>
          <w:szCs w:val="32"/>
          <w:highlight w:val="none"/>
          <w:lang w:val="en-US" w:eastAsia="zh-CN"/>
        </w:rPr>
        <w:t>得分</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sz w:val="32"/>
          <w:szCs w:val="32"/>
          <w:highlight w:val="none"/>
          <w:lang w:val="en-US" w:eastAsia="zh-CN"/>
        </w:rPr>
        <w:t>高</w:t>
      </w:r>
      <w:r>
        <w:rPr>
          <w:rFonts w:hint="eastAsia" w:ascii="仿宋_GB2312" w:hAnsi="仿宋_GB2312" w:eastAsia="仿宋_GB2312" w:cs="仿宋_GB2312"/>
          <w:sz w:val="32"/>
          <w:szCs w:val="32"/>
          <w:highlight w:val="none"/>
        </w:rPr>
        <w:t>到</w:t>
      </w:r>
      <w:r>
        <w:rPr>
          <w:rFonts w:hint="eastAsia" w:ascii="仿宋_GB2312" w:hAnsi="仿宋_GB2312" w:eastAsia="仿宋_GB2312" w:cs="仿宋_GB2312"/>
          <w:sz w:val="32"/>
          <w:szCs w:val="32"/>
          <w:highlight w:val="none"/>
          <w:lang w:val="en-US" w:eastAsia="zh-CN"/>
        </w:rPr>
        <w:t>低</w:t>
      </w:r>
      <w:r>
        <w:rPr>
          <w:rFonts w:hint="eastAsia" w:ascii="仿宋_GB2312" w:hAnsi="仿宋_GB2312" w:eastAsia="仿宋_GB2312" w:cs="仿宋_GB2312"/>
          <w:sz w:val="32"/>
          <w:szCs w:val="32"/>
          <w:highlight w:val="none"/>
        </w:rPr>
        <w:t>顺序</w:t>
      </w:r>
      <w:r>
        <w:rPr>
          <w:rFonts w:hint="eastAsia" w:ascii="仿宋_GB2312" w:hAnsi="仿宋_GB2312" w:eastAsia="仿宋_GB2312" w:cs="仿宋_GB2312"/>
          <w:sz w:val="32"/>
          <w:szCs w:val="32"/>
          <w:highlight w:val="none"/>
          <w:lang w:val="en-US" w:eastAsia="zh-CN"/>
        </w:rPr>
        <w:t>排列</w:t>
      </w:r>
      <w:r>
        <w:rPr>
          <w:rFonts w:hint="eastAsia" w:ascii="仿宋_GB2312" w:hAnsi="仿宋_GB2312" w:eastAsia="仿宋_GB2312" w:cs="仿宋_GB2312"/>
          <w:sz w:val="32"/>
          <w:szCs w:val="32"/>
          <w:highlight w:val="none"/>
        </w:rPr>
        <w:t>，综合评分且最后报价</w:t>
      </w:r>
      <w:r>
        <w:rPr>
          <w:rFonts w:hint="eastAsia" w:ascii="仿宋_GB2312" w:hAnsi="仿宋_GB2312" w:eastAsia="仿宋_GB2312" w:cs="仿宋_GB2312"/>
          <w:sz w:val="32"/>
          <w:szCs w:val="32"/>
          <w:highlight w:val="none"/>
          <w:lang w:val="en-US" w:eastAsia="zh-CN"/>
        </w:rPr>
        <w:t>得分</w:t>
      </w:r>
      <w:r>
        <w:rPr>
          <w:rFonts w:hint="eastAsia" w:ascii="仿宋_GB2312" w:hAnsi="仿宋_GB2312" w:eastAsia="仿宋_GB2312" w:cs="仿宋_GB2312"/>
          <w:sz w:val="32"/>
          <w:szCs w:val="32"/>
          <w:highlight w:val="none"/>
        </w:rPr>
        <w:t>相同的，按照技术评分由</w:t>
      </w:r>
      <w:r>
        <w:rPr>
          <w:rFonts w:hint="eastAsia" w:ascii="仿宋_GB2312" w:hAnsi="仿宋_GB2312" w:eastAsia="仿宋_GB2312" w:cs="仿宋_GB2312"/>
          <w:sz w:val="32"/>
          <w:szCs w:val="32"/>
          <w:highlight w:val="none"/>
          <w:lang w:val="en-US" w:eastAsia="zh-CN"/>
        </w:rPr>
        <w:t>高</w:t>
      </w:r>
      <w:r>
        <w:rPr>
          <w:rFonts w:hint="eastAsia" w:ascii="仿宋_GB2312" w:hAnsi="仿宋_GB2312" w:eastAsia="仿宋_GB2312" w:cs="仿宋_GB2312"/>
          <w:sz w:val="32"/>
          <w:szCs w:val="32"/>
          <w:highlight w:val="none"/>
        </w:rPr>
        <w:t>到</w:t>
      </w:r>
      <w:r>
        <w:rPr>
          <w:rFonts w:hint="eastAsia" w:ascii="仿宋_GB2312" w:hAnsi="仿宋_GB2312" w:eastAsia="仿宋_GB2312" w:cs="仿宋_GB2312"/>
          <w:sz w:val="32"/>
          <w:szCs w:val="32"/>
          <w:highlight w:val="none"/>
          <w:lang w:val="en-US" w:eastAsia="zh-CN"/>
        </w:rPr>
        <w:t>低</w:t>
      </w:r>
      <w:r>
        <w:rPr>
          <w:rFonts w:hint="eastAsia" w:ascii="仿宋_GB2312" w:hAnsi="仿宋_GB2312" w:eastAsia="仿宋_GB2312" w:cs="仿宋_GB2312"/>
          <w:sz w:val="32"/>
          <w:szCs w:val="32"/>
          <w:highlight w:val="none"/>
        </w:rPr>
        <w:t>顺序</w:t>
      </w:r>
      <w:r>
        <w:rPr>
          <w:rFonts w:hint="eastAsia" w:ascii="仿宋_GB2312" w:hAnsi="仿宋_GB2312" w:eastAsia="仿宋_GB2312" w:cs="仿宋_GB2312"/>
          <w:sz w:val="32"/>
          <w:szCs w:val="32"/>
          <w:highlight w:val="none"/>
          <w:lang w:val="en-US" w:eastAsia="zh-CN"/>
        </w:rPr>
        <w:t>排列，</w:t>
      </w:r>
      <w:r>
        <w:rPr>
          <w:rFonts w:hint="eastAsia" w:ascii="仿宋_GB2312" w:hAnsi="仿宋_GB2312" w:eastAsia="仿宋_GB2312" w:cs="仿宋_GB2312"/>
          <w:sz w:val="32"/>
          <w:szCs w:val="32"/>
          <w:highlight w:val="none"/>
        </w:rPr>
        <w:t>综合得分相同、投标报价和技术评分均相同的，名次由评</w:t>
      </w:r>
      <w:r>
        <w:rPr>
          <w:rFonts w:hint="eastAsia" w:ascii="仿宋_GB2312" w:hAnsi="仿宋_GB2312" w:eastAsia="仿宋_GB2312" w:cs="仿宋_GB2312"/>
          <w:sz w:val="32"/>
          <w:szCs w:val="32"/>
          <w:highlight w:val="none"/>
          <w:lang w:val="en-US" w:eastAsia="zh-CN"/>
        </w:rPr>
        <w:t>分小组</w:t>
      </w:r>
      <w:r>
        <w:rPr>
          <w:rFonts w:hint="eastAsia" w:ascii="仿宋_GB2312" w:hAnsi="仿宋_GB2312" w:eastAsia="仿宋_GB2312" w:cs="仿宋_GB2312"/>
          <w:sz w:val="32"/>
          <w:szCs w:val="32"/>
          <w:highlight w:val="none"/>
          <w:lang w:eastAsia="zh-CN"/>
        </w:rPr>
        <w:t>随机抽取</w:t>
      </w:r>
      <w:r>
        <w:rPr>
          <w:rFonts w:hint="eastAsia" w:ascii="仿宋_GB2312" w:hAnsi="仿宋_GB2312" w:eastAsia="仿宋_GB2312" w:cs="仿宋_GB2312"/>
          <w:sz w:val="32"/>
          <w:szCs w:val="32"/>
          <w:highlight w:val="none"/>
        </w:rPr>
        <w:t>确定。</w:t>
      </w:r>
    </w:p>
    <w:p>
      <w:pPr>
        <w:keepNext w:val="0"/>
        <w:keepLines w:val="0"/>
        <w:pageBreakBefore w:val="0"/>
        <w:kinsoku/>
        <w:overflowPunct/>
        <w:autoSpaceDE/>
        <w:autoSpaceDN/>
        <w:bidi w:val="0"/>
        <w:spacing w:line="600" w:lineRule="exact"/>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F71D5"/>
    <w:multiLevelType w:val="singleLevel"/>
    <w:tmpl w:val="C95F71D5"/>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MDdiZTNiNzY1YTYxZmQxNGUzM2U5MjUxNDBlZGMifQ=="/>
  </w:docVars>
  <w:rsids>
    <w:rsidRoot w:val="76A94692"/>
    <w:rsid w:val="0A272DD0"/>
    <w:rsid w:val="0C00085B"/>
    <w:rsid w:val="0FCF4ED3"/>
    <w:rsid w:val="14E56201"/>
    <w:rsid w:val="1B917984"/>
    <w:rsid w:val="1C22660D"/>
    <w:rsid w:val="1C9528F7"/>
    <w:rsid w:val="1D2C2A64"/>
    <w:rsid w:val="216D49AE"/>
    <w:rsid w:val="256E3FFE"/>
    <w:rsid w:val="314067AF"/>
    <w:rsid w:val="34330F21"/>
    <w:rsid w:val="41783F55"/>
    <w:rsid w:val="46526431"/>
    <w:rsid w:val="4B6F637E"/>
    <w:rsid w:val="4CC54EB3"/>
    <w:rsid w:val="52185284"/>
    <w:rsid w:val="58D541F1"/>
    <w:rsid w:val="5CD74FB8"/>
    <w:rsid w:val="612D1D9A"/>
    <w:rsid w:val="62780630"/>
    <w:rsid w:val="6A434904"/>
    <w:rsid w:val="713C694B"/>
    <w:rsid w:val="74196DC8"/>
    <w:rsid w:val="75404BA3"/>
    <w:rsid w:val="76A94692"/>
    <w:rsid w:val="7AA85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lang w:eastAsia="zh-CN"/>
    </w:rPr>
  </w:style>
  <w:style w:type="paragraph" w:styleId="3">
    <w:name w:val="annotation text"/>
    <w:basedOn w:val="1"/>
    <w:qFormat/>
    <w:uiPriority w:val="0"/>
    <w:pPr>
      <w:jc w:val="left"/>
    </w:pPr>
    <w:rPr>
      <w:rFonts w:ascii="Tahoma" w:hAnsi="Tahoma"/>
    </w:rPr>
  </w:style>
  <w:style w:type="paragraph" w:styleId="4">
    <w:name w:val="Body Text Indent"/>
    <w:basedOn w:val="1"/>
    <w:next w:val="5"/>
    <w:qFormat/>
    <w:uiPriority w:val="0"/>
    <w:pPr>
      <w:spacing w:line="360" w:lineRule="auto"/>
      <w:ind w:firstLine="525"/>
    </w:pPr>
    <w:rPr>
      <w:rFonts w:ascii="宋体" w:hAnsi="宋体"/>
      <w:sz w:val="24"/>
      <w:szCs w:val="21"/>
    </w:rPr>
  </w:style>
  <w:style w:type="paragraph" w:styleId="5">
    <w:name w:val="Body Text First Indent 2"/>
    <w:basedOn w:val="4"/>
    <w:qFormat/>
    <w:uiPriority w:val="0"/>
    <w:pPr>
      <w:ind w:firstLine="420" w:firstLineChars="200"/>
    </w:pPr>
  </w:style>
  <w:style w:type="paragraph" w:styleId="6">
    <w:name w:val="Plain Text"/>
    <w:basedOn w:val="1"/>
    <w:qFormat/>
    <w:uiPriority w:val="0"/>
    <w:rPr>
      <w:rFonts w:ascii="宋体" w:hAnsi="Courier New"/>
      <w:szCs w:val="20"/>
    </w:rPr>
  </w:style>
  <w:style w:type="paragraph" w:styleId="7">
    <w:name w:val="Balloon Text"/>
    <w:basedOn w:val="1"/>
    <w:next w:val="8"/>
    <w:qFormat/>
    <w:uiPriority w:val="0"/>
    <w:rPr>
      <w:rFonts w:ascii="Tahoma" w:hAnsi="Tahoma"/>
      <w:sz w:val="18"/>
      <w:szCs w:val="18"/>
    </w:rPr>
  </w:style>
  <w:style w:type="paragraph" w:customStyle="1" w:styleId="8">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customStyle="1" w:styleId="11">
    <w:name w:val="样式1"/>
    <w:basedOn w:val="1"/>
    <w:qFormat/>
    <w:uiPriority w:val="0"/>
    <w:pPr>
      <w:widowControl/>
      <w:pBdr>
        <w:top w:val="none" w:color="auto" w:sz="0" w:space="0"/>
        <w:left w:val="none" w:color="auto" w:sz="0" w:space="0"/>
        <w:bottom w:val="none" w:color="auto" w:sz="0" w:space="0"/>
        <w:right w:val="none" w:color="auto" w:sz="0" w:space="0"/>
      </w:pBdr>
      <w:shd w:val="clear" w:fill="FFFFFF"/>
      <w:spacing w:line="540" w:lineRule="exact"/>
      <w:ind w:firstLine="640" w:firstLineChars="200"/>
      <w:jc w:val="left"/>
    </w:pPr>
    <w:rPr>
      <w:rFonts w:hint="eastAsia" w:ascii="仿宋" w:hAnsi="仿宋" w:eastAsia="仿宋" w:cs="Times New Roman"/>
      <w:kern w:val="0"/>
      <w:sz w:val="32"/>
      <w:szCs w:val="32"/>
      <w:lang w:bidi="en-US"/>
    </w:rPr>
  </w:style>
  <w:style w:type="paragraph" w:customStyle="1" w:styleId="12">
    <w:name w:val="正文首行缩进 21"/>
    <w:basedOn w:val="4"/>
    <w:qFormat/>
    <w:uiPriority w:val="0"/>
    <w:pPr>
      <w:ind w:firstLine="420"/>
    </w:pPr>
    <w:rPr>
      <w:kern w:val="1"/>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2961</Words>
  <Characters>3056</Characters>
  <Lines>0</Lines>
  <Paragraphs>0</Paragraphs>
  <TotalTime>4</TotalTime>
  <ScaleCrop>false</ScaleCrop>
  <LinksUpToDate>false</LinksUpToDate>
  <CharactersWithSpaces>3094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2023-03-13T14:47:00Z</dcterms:created>
  <dc:creator>叶高翔</dc:creator>
  <cp:lastModifiedBy>47673</cp:lastModifiedBy>
  <cp:lastPrinted>2023-03-16T06:45:00Z</cp:lastPrinted>
  <dcterms:modified xsi:type="dcterms:W3CDTF">2023-03-23T03:51:57Z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495ADC2C7E3C43D286D549CC9C47DAA5</vt:lpwstr>
  </property>
</Properties>
</file>