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auto"/>
          <w:kern w:val="2"/>
          <w:sz w:val="44"/>
          <w:szCs w:val="44"/>
          <w:shd w:val="clear"/>
          <w:lang w:eastAsia="zh-CN" w:bidi="ar-SA"/>
        </w:rPr>
      </w:pPr>
      <w:bookmarkStart w:id="0" w:name="bookmark2"/>
      <w:bookmarkStart w:id="1" w:name="bookmark0"/>
      <w:bookmarkStart w:id="2" w:name="bookmark1"/>
      <w:r>
        <w:rPr>
          <w:rFonts w:hint="eastAsia" w:ascii="方正小标宋_GBK" w:hAnsi="方正小标宋_GBK" w:eastAsia="方正小标宋_GBK" w:cs="方正小标宋_GBK"/>
          <w:b w:val="0"/>
          <w:bCs/>
          <w:color w:val="auto"/>
          <w:spacing w:val="0"/>
          <w:w w:val="100"/>
          <w:kern w:val="2"/>
          <w:position w:val="0"/>
          <w:sz w:val="44"/>
          <w:szCs w:val="44"/>
          <w:shd w:val="clear"/>
          <w:lang w:eastAsia="zh-CN" w:bidi="ar-SA"/>
        </w:rPr>
        <w:t>福州市滨海水务发展有限公司</w:t>
      </w:r>
      <w:bookmarkEnd w:id="0"/>
    </w:p>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pPr>
      <w:bookmarkStart w:id="3" w:name="bookmark3"/>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关于</w:t>
      </w:r>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生活污水微动力处理设备的</w:t>
      </w:r>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询价</w:t>
      </w:r>
      <w:bookmarkEnd w:id="1"/>
      <w:bookmarkEnd w:id="2"/>
      <w:bookmarkEnd w:id="3"/>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函</w:t>
      </w:r>
    </w:p>
    <w:p>
      <w:pPr>
        <w:keepNext w:val="0"/>
        <w:keepLines w:val="0"/>
        <w:widowControl/>
        <w:shd w:val="clear"/>
        <w:snapToGrid w:val="0"/>
        <w:spacing w:line="240" w:lineRule="auto"/>
        <w:ind w:firstLine="640" w:firstLineChars="200"/>
        <w:rPr>
          <w:rFonts w:hint="eastAsia" w:ascii="仿宋" w:hAnsi="仿宋" w:eastAsia="仿宋" w:cs="仿宋"/>
          <w:b w:val="0"/>
          <w:bCs w:val="0"/>
          <w:color w:val="auto"/>
          <w:spacing w:val="0"/>
          <w:w w:val="100"/>
          <w:kern w:val="0"/>
          <w:position w:val="0"/>
          <w:sz w:val="32"/>
          <w:szCs w:val="32"/>
          <w:shd w:val="clear"/>
          <w:lang w:eastAsia="zh-CN" w:bidi="ar-SA"/>
        </w:rPr>
      </w:pPr>
    </w:p>
    <w:p>
      <w:pPr>
        <w:widowControl/>
        <w:shd w:val="clear"/>
        <w:snapToGrid w:val="0"/>
        <w:spacing w:line="240" w:lineRule="auto"/>
        <w:ind w:firstLine="640" w:firstLineChars="200"/>
        <w:jc w:val="both"/>
        <w:rPr>
          <w:rFonts w:hint="eastAsia" w:ascii="仿宋" w:hAnsi="仿宋" w:eastAsia="仿宋" w:cs="仿宋"/>
          <w:color w:val="auto"/>
          <w:sz w:val="32"/>
          <w:szCs w:val="32"/>
          <w:shd w:val="clear"/>
          <w:lang w:eastAsia="zh-CN" w:bidi="ar-SA"/>
        </w:rPr>
      </w:pPr>
      <w:r>
        <w:rPr>
          <w:rFonts w:hint="eastAsia" w:ascii="仿宋" w:hAnsi="仿宋" w:eastAsia="仿宋" w:cs="仿宋"/>
          <w:color w:val="auto"/>
          <w:spacing w:val="0"/>
          <w:w w:val="100"/>
          <w:position w:val="0"/>
          <w:sz w:val="32"/>
          <w:szCs w:val="32"/>
          <w:shd w:val="clear"/>
          <w:lang w:eastAsia="zh-CN" w:bidi="ar-SA"/>
        </w:rPr>
        <w:t>福州市滨海水务发展有限公司釆用公开</w:t>
      </w:r>
      <w:r>
        <w:rPr>
          <w:rFonts w:hint="eastAsia" w:ascii="仿宋" w:hAnsi="仿宋" w:eastAsia="仿宋" w:cs="仿宋"/>
          <w:color w:val="auto"/>
          <w:sz w:val="32"/>
          <w:szCs w:val="32"/>
          <w:shd w:val="clear"/>
          <w:lang w:eastAsia="zh-CN" w:bidi="ar-SA"/>
        </w:rPr>
        <w:t>挂网询价釆购方式</w:t>
      </w:r>
      <w:r>
        <w:rPr>
          <w:rFonts w:hint="eastAsia" w:ascii="仿宋" w:hAnsi="仿宋" w:eastAsia="仿宋" w:cs="仿宋"/>
          <w:color w:val="auto"/>
          <w:spacing w:val="0"/>
          <w:w w:val="100"/>
          <w:position w:val="0"/>
          <w:sz w:val="32"/>
          <w:szCs w:val="32"/>
          <w:shd w:val="clear"/>
          <w:lang w:eastAsia="zh-CN" w:bidi="ar-SA"/>
        </w:rPr>
        <w:t>组织实施本次服务的釆购，</w:t>
      </w:r>
      <w:r>
        <w:rPr>
          <w:rFonts w:hint="eastAsia" w:ascii="仿宋" w:hAnsi="仿宋" w:eastAsia="仿宋" w:cs="仿宋"/>
          <w:color w:val="auto"/>
          <w:sz w:val="32"/>
          <w:szCs w:val="32"/>
          <w:shd w:val="clear"/>
          <w:lang w:eastAsia="zh-CN" w:bidi="ar-SA"/>
        </w:rPr>
        <w:t>现</w:t>
      </w:r>
      <w:r>
        <w:rPr>
          <w:rFonts w:hint="eastAsia" w:ascii="仿宋" w:hAnsi="仿宋" w:eastAsia="仿宋" w:cs="仿宋"/>
          <w:color w:val="auto"/>
          <w:sz w:val="32"/>
          <w:szCs w:val="32"/>
          <w:shd w:val="clear"/>
          <w:lang w:val="en-US" w:eastAsia="zh-CN" w:bidi="ar-SA"/>
        </w:rPr>
        <w:t>欢迎</w:t>
      </w:r>
      <w:r>
        <w:rPr>
          <w:rFonts w:hint="eastAsia" w:ascii="仿宋" w:hAnsi="仿宋" w:eastAsia="仿宋" w:cs="仿宋"/>
          <w:color w:val="auto"/>
          <w:sz w:val="32"/>
          <w:szCs w:val="32"/>
          <w:shd w:val="clear"/>
          <w:lang w:eastAsia="zh-CN" w:bidi="ar-SA"/>
        </w:rPr>
        <w:t>合格的供应商参与报价。</w:t>
      </w:r>
    </w:p>
    <w:p>
      <w:pPr>
        <w:widowControl/>
        <w:shd w:val="clear"/>
        <w:snapToGrid w:val="0"/>
        <w:spacing w:line="240" w:lineRule="auto"/>
        <w:ind w:firstLine="640" w:firstLineChars="200"/>
        <w:rPr>
          <w:rFonts w:hint="eastAsia" w:ascii="黑体" w:hAnsi="黑体" w:eastAsia="黑体" w:cs="黑体"/>
          <w:b w:val="0"/>
          <w:bCs w:val="0"/>
          <w:color w:val="auto"/>
          <w:sz w:val="32"/>
          <w:szCs w:val="32"/>
          <w:shd w:val="clear"/>
          <w:lang w:eastAsia="zh-CN" w:bidi="ar-SA"/>
        </w:rPr>
      </w:pPr>
      <w:r>
        <w:rPr>
          <w:rFonts w:hint="eastAsia" w:ascii="黑体" w:hAnsi="黑体" w:eastAsia="黑体" w:cs="黑体"/>
          <w:b w:val="0"/>
          <w:bCs w:val="0"/>
          <w:color w:val="auto"/>
          <w:spacing w:val="0"/>
          <w:w w:val="100"/>
          <w:position w:val="0"/>
          <w:sz w:val="32"/>
          <w:szCs w:val="32"/>
          <w:shd w:val="clear"/>
          <w:lang w:eastAsia="zh-CN" w:bidi="ar-SA"/>
        </w:rPr>
        <w:t>一、项目情况</w:t>
      </w:r>
    </w:p>
    <w:p>
      <w:pPr>
        <w:widowControl/>
        <w:shd w:val="clear"/>
        <w:snapToGrid w:val="0"/>
        <w:spacing w:line="240" w:lineRule="auto"/>
        <w:ind w:firstLine="640"/>
        <w:rPr>
          <w:rFonts w:hint="eastAsia" w:ascii="仿宋" w:hAnsi="仿宋" w:eastAsia="仿宋" w:cs="仿宋"/>
          <w:color w:val="auto"/>
          <w:sz w:val="32"/>
          <w:szCs w:val="32"/>
          <w:shd w:val="clear"/>
          <w:lang w:val="en-US" w:eastAsia="zh-CN" w:bidi="ar-SA"/>
        </w:rPr>
      </w:pPr>
      <w:bookmarkStart w:id="4" w:name="bookmark4"/>
      <w:r>
        <w:rPr>
          <w:rFonts w:hint="eastAsia" w:ascii="仿宋" w:hAnsi="仿宋" w:eastAsia="仿宋" w:cs="仿宋"/>
          <w:color w:val="auto"/>
          <w:spacing w:val="0"/>
          <w:w w:val="100"/>
          <w:position w:val="0"/>
          <w:sz w:val="32"/>
          <w:szCs w:val="32"/>
          <w:shd w:val="clear"/>
          <w:lang w:eastAsia="zh-CN" w:bidi="ar-SA"/>
        </w:rPr>
        <w:t>1</w:t>
      </w:r>
      <w:bookmarkEnd w:id="4"/>
      <w:r>
        <w:rPr>
          <w:rFonts w:hint="eastAsia" w:ascii="仿宋" w:hAnsi="仿宋" w:eastAsia="仿宋" w:cs="仿宋"/>
          <w:color w:val="auto"/>
          <w:spacing w:val="0"/>
          <w:w w:val="100"/>
          <w:position w:val="0"/>
          <w:sz w:val="32"/>
          <w:szCs w:val="32"/>
          <w:shd w:val="clear"/>
          <w:lang w:eastAsia="zh-CN" w:bidi="ar-SA"/>
        </w:rPr>
        <w:t>、</w:t>
      </w:r>
      <w:r>
        <w:rPr>
          <w:rFonts w:hint="eastAsia" w:ascii="仿宋" w:hAnsi="仿宋" w:eastAsia="仿宋" w:cs="仿宋"/>
          <w:color w:val="auto"/>
          <w:spacing w:val="0"/>
          <w:w w:val="100"/>
          <w:position w:val="0"/>
          <w:sz w:val="32"/>
          <w:szCs w:val="32"/>
          <w:shd w:val="clear"/>
          <w:lang w:eastAsia="zh-CN" w:bidi="ar-SA"/>
        </w:rPr>
        <w:tab/>
      </w:r>
      <w:r>
        <w:rPr>
          <w:rFonts w:hint="eastAsia" w:ascii="仿宋" w:hAnsi="仿宋" w:eastAsia="仿宋" w:cs="仿宋"/>
          <w:color w:val="auto"/>
          <w:spacing w:val="0"/>
          <w:w w:val="100"/>
          <w:position w:val="0"/>
          <w:sz w:val="32"/>
          <w:szCs w:val="32"/>
          <w:shd w:val="clear"/>
          <w:lang w:eastAsia="zh-CN" w:bidi="ar-SA"/>
        </w:rPr>
        <w:t>询价编号：</w:t>
      </w:r>
      <w:r>
        <w:rPr>
          <w:rFonts w:hint="eastAsia" w:ascii="仿宋" w:hAnsi="仿宋" w:eastAsia="仿宋" w:cs="仿宋"/>
          <w:color w:val="auto"/>
          <w:spacing w:val="0"/>
          <w:w w:val="100"/>
          <w:position w:val="0"/>
          <w:sz w:val="32"/>
          <w:szCs w:val="32"/>
          <w:shd w:val="clear"/>
          <w:lang w:val="en-US" w:eastAsia="zh-CN" w:bidi="ar-SA"/>
        </w:rPr>
        <w:t>BHSW2023CG-037</w:t>
      </w:r>
    </w:p>
    <w:p>
      <w:pPr>
        <w:widowControl/>
        <w:shd w:val="clear"/>
        <w:snapToGrid w:val="0"/>
        <w:spacing w:line="240" w:lineRule="auto"/>
        <w:ind w:firstLine="640"/>
        <w:rPr>
          <w:rFonts w:hint="eastAsia" w:ascii="仿宋" w:hAnsi="仿宋" w:eastAsia="仿宋" w:cs="仿宋"/>
          <w:color w:val="auto"/>
          <w:spacing w:val="0"/>
          <w:w w:val="100"/>
          <w:position w:val="0"/>
          <w:sz w:val="32"/>
          <w:szCs w:val="32"/>
          <w:shd w:val="clear"/>
          <w:lang w:eastAsia="zh-CN" w:bidi="ar-SA"/>
        </w:rPr>
      </w:pPr>
      <w:bookmarkStart w:id="5" w:name="bookmark5"/>
      <w:r>
        <w:rPr>
          <w:rFonts w:hint="eastAsia" w:ascii="仿宋" w:hAnsi="仿宋" w:eastAsia="仿宋" w:cs="仿宋"/>
          <w:color w:val="auto"/>
          <w:spacing w:val="0"/>
          <w:w w:val="100"/>
          <w:position w:val="0"/>
          <w:sz w:val="32"/>
          <w:szCs w:val="32"/>
          <w:shd w:val="clear"/>
          <w:lang w:eastAsia="zh-CN" w:bidi="ar-SA"/>
        </w:rPr>
        <w:t>2</w:t>
      </w:r>
      <w:bookmarkEnd w:id="5"/>
      <w:r>
        <w:rPr>
          <w:rFonts w:hint="eastAsia" w:ascii="仿宋" w:hAnsi="仿宋" w:eastAsia="仿宋" w:cs="仿宋"/>
          <w:color w:val="auto"/>
          <w:spacing w:val="0"/>
          <w:w w:val="100"/>
          <w:position w:val="0"/>
          <w:sz w:val="32"/>
          <w:szCs w:val="32"/>
          <w:shd w:val="clear"/>
          <w:lang w:eastAsia="zh-CN" w:bidi="ar-SA"/>
        </w:rPr>
        <w:t>、</w:t>
      </w:r>
      <w:r>
        <w:rPr>
          <w:rFonts w:hint="eastAsia" w:ascii="仿宋" w:hAnsi="仿宋" w:eastAsia="仿宋" w:cs="仿宋"/>
          <w:color w:val="auto"/>
          <w:spacing w:val="0"/>
          <w:w w:val="100"/>
          <w:position w:val="0"/>
          <w:sz w:val="32"/>
          <w:szCs w:val="32"/>
          <w:shd w:val="clear"/>
          <w:lang w:eastAsia="zh-CN" w:bidi="ar-SA"/>
        </w:rPr>
        <w:tab/>
      </w:r>
      <w:r>
        <w:rPr>
          <w:rFonts w:hint="eastAsia" w:ascii="仿宋" w:hAnsi="仿宋" w:eastAsia="仿宋" w:cs="仿宋"/>
          <w:color w:val="auto"/>
          <w:spacing w:val="0"/>
          <w:w w:val="100"/>
          <w:position w:val="0"/>
          <w:sz w:val="32"/>
          <w:szCs w:val="32"/>
          <w:shd w:val="clear"/>
          <w:lang w:eastAsia="zh-CN" w:bidi="ar-SA"/>
        </w:rPr>
        <w:t>询价釆购服务名称及主要内容要求等详见</w:t>
      </w:r>
      <w:r>
        <w:rPr>
          <w:rFonts w:hint="eastAsia" w:ascii="仿宋" w:hAnsi="仿宋" w:eastAsia="仿宋" w:cs="仿宋"/>
          <w:color w:val="auto"/>
          <w:spacing w:val="0"/>
          <w:w w:val="100"/>
          <w:position w:val="0"/>
          <w:sz w:val="32"/>
          <w:szCs w:val="32"/>
          <w:shd w:val="clear"/>
          <w:lang w:val="zh-CN" w:eastAsia="zh-CN" w:bidi="ar-SA"/>
        </w:rPr>
        <w:t>“询</w:t>
      </w:r>
      <w:r>
        <w:rPr>
          <w:rFonts w:hint="eastAsia" w:ascii="仿宋" w:hAnsi="仿宋" w:eastAsia="仿宋" w:cs="仿宋"/>
          <w:color w:val="auto"/>
          <w:spacing w:val="0"/>
          <w:w w:val="100"/>
          <w:position w:val="0"/>
          <w:sz w:val="32"/>
          <w:szCs w:val="32"/>
          <w:shd w:val="clear"/>
          <w:lang w:eastAsia="zh-CN" w:bidi="ar-SA"/>
        </w:rPr>
        <w:t>价一览表”。</w:t>
      </w:r>
    </w:p>
    <w:p>
      <w:pPr>
        <w:pStyle w:val="38"/>
        <w:keepNext/>
        <w:keepLines/>
        <w:widowControl w:val="0"/>
        <w:shd w:val="clear" w:color="auto" w:fill="auto"/>
        <w:bidi w:val="0"/>
        <w:spacing w:before="0" w:beforeLines="0" w:after="0" w:afterLines="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r>
        <w:rPr>
          <w:rFonts w:hint="eastAsia" w:ascii="宋体" w:hAnsi="宋体" w:eastAsia="宋体" w:cs="宋体"/>
          <w:b/>
          <w:bCs/>
          <w:color w:val="auto"/>
          <w:spacing w:val="0"/>
          <w:w w:val="100"/>
          <w:position w:val="0"/>
          <w:sz w:val="28"/>
          <w:szCs w:val="28"/>
          <w:highlight w:val="none"/>
          <w:shd w:val="clear" w:color="auto" w:fill="auto"/>
        </w:rPr>
        <w:t>询价一览表</w:t>
      </w:r>
    </w:p>
    <w:tbl>
      <w:tblPr>
        <w:tblStyle w:val="23"/>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2"/>
        <w:gridCol w:w="3178"/>
        <w:gridCol w:w="2359"/>
        <w:gridCol w:w="927"/>
        <w:gridCol w:w="818"/>
        <w:gridCol w:w="900"/>
        <w:gridCol w:w="1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color w:val="auto"/>
                <w:sz w:val="24"/>
              </w:rPr>
            </w:pPr>
            <w:r>
              <w:rPr>
                <w:color w:val="auto"/>
                <w:sz w:val="24"/>
              </w:rPr>
              <w:t>序号</w:t>
            </w:r>
          </w:p>
        </w:tc>
        <w:tc>
          <w:tcPr>
            <w:tcW w:w="31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51" w:hangingChars="63"/>
              <w:jc w:val="center"/>
              <w:rPr>
                <w:color w:val="auto"/>
                <w:sz w:val="24"/>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23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360" w:lineRule="auto"/>
              <w:ind w:left="124" w:leftChars="0" w:right="0" w:rightChars="0" w:hanging="124" w:hangingChars="52"/>
              <w:jc w:val="center"/>
              <w:rPr>
                <w:rFonts w:hint="default" w:eastAsia="仿宋"/>
                <w:color w:val="auto"/>
                <w:sz w:val="24"/>
                <w:lang w:val="en-US" w:eastAsia="zh-CN"/>
              </w:rPr>
            </w:pPr>
            <w:r>
              <w:rPr>
                <w:rFonts w:hint="eastAsia"/>
                <w:color w:val="000000"/>
                <w:sz w:val="24"/>
                <w:lang w:val="en-US" w:eastAsia="zh-CN"/>
              </w:rPr>
              <w:t>技术参数</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05" w:hangingChars="44"/>
              <w:jc w:val="center"/>
              <w:rPr>
                <w:color w:val="auto"/>
                <w:sz w:val="24"/>
              </w:rPr>
            </w:pPr>
            <w:r>
              <w:rPr>
                <w:rFonts w:hint="eastAsia"/>
                <w:color w:val="auto"/>
                <w:sz w:val="24"/>
                <w:lang w:val="en-US"/>
              </w:rPr>
              <w:t>单位</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69" w:hangingChars="29"/>
              <w:jc w:val="center"/>
              <w:rPr>
                <w:color w:val="auto"/>
                <w:sz w:val="24"/>
                <w:lang w:val="en-US"/>
              </w:rPr>
            </w:pPr>
            <w:r>
              <w:rPr>
                <w:rFonts w:hint="eastAsia"/>
                <w:color w:val="auto"/>
                <w:sz w:val="24"/>
                <w:lang w:val="en-US"/>
              </w:rPr>
              <w:t>数量</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default" w:eastAsia="仿宋"/>
                <w:color w:val="auto"/>
                <w:sz w:val="24"/>
                <w:lang w:val="en-US" w:eastAsia="zh-CN"/>
              </w:rPr>
            </w:pPr>
            <w:r>
              <w:rPr>
                <w:rFonts w:hint="eastAsia"/>
                <w:color w:val="auto"/>
                <w:sz w:val="24"/>
                <w:lang w:val="en-US" w:eastAsia="zh-CN"/>
              </w:rPr>
              <w:t>最高限价</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default"/>
                <w:color w:val="auto"/>
                <w:sz w:val="24"/>
                <w:lang w:val="en-US" w:eastAsia="zh-CN"/>
              </w:rPr>
            </w:pPr>
            <w:r>
              <w:rPr>
                <w:rFonts w:hint="eastAsia"/>
                <w:color w:val="auto"/>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exact"/>
          <w:jc w:val="center"/>
        </w:trPr>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color w:val="auto"/>
                <w:sz w:val="24"/>
                <w:lang w:val="en-US" w:eastAsia="zh-CN"/>
              </w:rPr>
            </w:pPr>
            <w:r>
              <w:rPr>
                <w:rFonts w:hint="eastAsia"/>
                <w:color w:val="auto"/>
                <w:sz w:val="24"/>
                <w:lang w:val="en-US" w:eastAsia="zh-CN"/>
              </w:rPr>
              <w:t>1</w:t>
            </w:r>
          </w:p>
        </w:tc>
        <w:tc>
          <w:tcPr>
            <w:tcW w:w="31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生活污水微动力处理设备</w:t>
            </w:r>
          </w:p>
        </w:tc>
        <w:tc>
          <w:tcPr>
            <w:tcW w:w="23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numPr>
                <w:ilvl w:val="-1"/>
                <w:numId w:val="0"/>
              </w:numPr>
              <w:spacing w:before="2" w:line="240" w:lineRule="auto"/>
              <w:ind w:left="0" w:leftChars="0" w:firstLine="0" w:firstLineChars="0"/>
              <w:jc w:val="left"/>
              <w:rPr>
                <w:rFonts w:hint="eastAsia" w:eastAsia="仿宋"/>
                <w:color w:val="auto"/>
                <w:sz w:val="24"/>
                <w:lang w:val="en-US" w:eastAsia="zh-CN"/>
              </w:rPr>
            </w:pPr>
            <w:r>
              <w:rPr>
                <w:rFonts w:hint="eastAsia" w:cs="仿宋"/>
                <w:color w:val="auto"/>
                <w:sz w:val="24"/>
                <w:szCs w:val="24"/>
                <w:lang w:val="en-US" w:eastAsia="zh-CN"/>
              </w:rPr>
              <w:t>详见附件1</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套</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1</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eastAsia="仿宋"/>
                <w:color w:val="auto"/>
                <w:sz w:val="24"/>
                <w:lang w:val="en-US" w:eastAsia="zh-CN"/>
              </w:rPr>
            </w:pPr>
            <w:r>
              <w:rPr>
                <w:rFonts w:hint="eastAsia"/>
                <w:color w:val="auto"/>
                <w:sz w:val="24"/>
                <w:lang w:val="en-US" w:eastAsia="zh-CN"/>
              </w:rPr>
              <w:t>3万元</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exact"/>
          <w:jc w:val="center"/>
        </w:trPr>
        <w:tc>
          <w:tcPr>
            <w:tcW w:w="10071"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before="0" w:line="24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报价金额总价（含税费及运输费用）：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（大写：</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税率  %</w:t>
            </w:r>
            <w:r>
              <w:rPr>
                <w:rFonts w:hint="eastAsia" w:ascii="仿宋" w:hAnsi="仿宋" w:eastAsia="仿宋" w:cs="仿宋"/>
                <w:color w:val="auto"/>
                <w:sz w:val="24"/>
                <w:szCs w:val="24"/>
                <w:lang w:val="en-US" w:bidi="en-US"/>
              </w:rPr>
              <w:t>。</w:t>
            </w:r>
          </w:p>
        </w:tc>
      </w:tr>
    </w:tbl>
    <w:p>
      <w:pPr>
        <w:widowControl/>
        <w:shd w:val="clear"/>
        <w:snapToGrid w:val="0"/>
        <w:spacing w:line="240" w:lineRule="auto"/>
        <w:ind w:firstLine="640"/>
        <w:rPr>
          <w:rFonts w:hint="eastAsia" w:ascii="仿宋" w:hAnsi="仿宋" w:eastAsia="仿宋" w:cs="仿宋"/>
          <w:color w:val="auto"/>
          <w:spacing w:val="0"/>
          <w:w w:val="100"/>
          <w:position w:val="0"/>
          <w:sz w:val="32"/>
          <w:szCs w:val="32"/>
          <w:shd w:val="clear"/>
          <w:lang w:eastAsia="zh-CN" w:bidi="ar-SA"/>
        </w:rPr>
      </w:pPr>
    </w:p>
    <w:p>
      <w:pPr>
        <w:widowControl/>
        <w:snapToGrid w:val="0"/>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报价文件应</w:t>
      </w:r>
      <w:r>
        <w:rPr>
          <w:rFonts w:hint="eastAsia" w:ascii="仿宋" w:hAnsi="仿宋" w:eastAsia="仿宋" w:cs="仿宋"/>
          <w:b/>
          <w:color w:val="auto"/>
          <w:kern w:val="0"/>
          <w:sz w:val="32"/>
          <w:szCs w:val="32"/>
        </w:rPr>
        <w:t>一式两份</w:t>
      </w:r>
      <w:r>
        <w:rPr>
          <w:rFonts w:hint="eastAsia" w:ascii="仿宋" w:hAnsi="仿宋" w:eastAsia="仿宋" w:cs="仿宋"/>
          <w:color w:val="auto"/>
          <w:kern w:val="0"/>
          <w:sz w:val="32"/>
          <w:szCs w:val="32"/>
        </w:rPr>
        <w:t>用密封的形式,并在密封面注明询价项目名称、编号、</w:t>
      </w:r>
      <w:r>
        <w:rPr>
          <w:rFonts w:hint="eastAsia" w:ascii="仿宋" w:hAnsi="仿宋" w:eastAsia="仿宋" w:cs="仿宋"/>
          <w:color w:val="auto"/>
          <w:kern w:val="0"/>
          <w:sz w:val="32"/>
          <w:szCs w:val="32"/>
          <w:lang w:val="en-US" w:eastAsia="zh-CN"/>
        </w:rPr>
        <w:t>报价人</w:t>
      </w:r>
      <w:r>
        <w:rPr>
          <w:rFonts w:hint="eastAsia" w:ascii="仿宋" w:hAnsi="仿宋" w:eastAsia="仿宋" w:cs="仿宋"/>
          <w:color w:val="auto"/>
          <w:kern w:val="0"/>
          <w:sz w:val="32"/>
          <w:szCs w:val="32"/>
        </w:rPr>
        <w:t>名称、联系人、联系电话等，同时在各密封处加盖公章寄送至我司。</w:t>
      </w:r>
    </w:p>
    <w:p>
      <w:pPr>
        <w:widowControl/>
        <w:snapToGrid w:val="0"/>
        <w:spacing w:line="24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报价文件送达时间:</w:t>
      </w:r>
      <w:r>
        <w:rPr>
          <w:rFonts w:hint="eastAsia" w:ascii="仿宋" w:hAnsi="仿宋" w:eastAsia="仿宋" w:cs="仿宋"/>
          <w:color w:val="auto"/>
          <w:kern w:val="0"/>
          <w:sz w:val="32"/>
          <w:szCs w:val="32"/>
          <w:highlight w:val="none"/>
          <w:lang w:val="en-US" w:eastAsia="zh-CN"/>
        </w:rPr>
        <w:t>2023年7月13日上午12时00分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未按此要求的，将被视为无效报价文件。</w:t>
      </w:r>
    </w:p>
    <w:p>
      <w:pPr>
        <w:widowControl/>
        <w:snapToGrid w:val="0"/>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收件人：林女士</w:t>
      </w:r>
    </w:p>
    <w:p>
      <w:pPr>
        <w:widowControl/>
        <w:snapToGrid w:val="0"/>
        <w:spacing w:line="240" w:lineRule="auto"/>
        <w:ind w:firstLine="960" w:firstLineChars="300"/>
        <w:rPr>
          <w:rFonts w:hint="default" w:ascii="Times New Roman" w:hAnsi="Times New Roman" w:eastAsia="Times New Roman" w:cs="Times New Roman"/>
          <w:color w:val="auto"/>
          <w:sz w:val="18"/>
          <w:szCs w:val="18"/>
          <w:shd w:val="clear" w:color="auto" w:fill="auto"/>
          <w:lang w:eastAsia="zh-CN" w:bidi="ar-SA"/>
        </w:rPr>
      </w:pPr>
      <w:r>
        <w:rPr>
          <w:rFonts w:hint="eastAsia" w:ascii="仿宋" w:hAnsi="仿宋" w:eastAsia="仿宋" w:cs="仿宋"/>
          <w:color w:val="auto"/>
          <w:kern w:val="0"/>
          <w:sz w:val="32"/>
          <w:szCs w:val="32"/>
        </w:rPr>
        <w:t>地址：福州市长乐区</w:t>
      </w:r>
      <w:r>
        <w:rPr>
          <w:rFonts w:hint="eastAsia" w:ascii="仿宋" w:hAnsi="仿宋" w:eastAsia="仿宋" w:cs="仿宋"/>
          <w:color w:val="auto"/>
          <w:kern w:val="0"/>
          <w:sz w:val="32"/>
          <w:szCs w:val="32"/>
          <w:lang w:eastAsia="zh-CN"/>
        </w:rPr>
        <w:t>文武砂</w:t>
      </w:r>
      <w:r>
        <w:rPr>
          <w:rFonts w:hint="eastAsia" w:ascii="仿宋" w:hAnsi="仿宋" w:eastAsia="仿宋" w:cs="仿宋"/>
          <w:color w:val="auto"/>
          <w:kern w:val="0"/>
          <w:sz w:val="32"/>
          <w:szCs w:val="32"/>
          <w:lang w:val="en-US" w:eastAsia="zh-CN"/>
        </w:rPr>
        <w:t>镇漳江路公交场站4楼</w:t>
      </w:r>
      <w:r>
        <w:rPr>
          <w:rFonts w:hint="eastAsia" w:ascii="仿宋" w:hAnsi="仿宋" w:eastAsia="仿宋" w:cs="仿宋"/>
          <w:color w:val="auto"/>
          <w:kern w:val="0"/>
          <w:sz w:val="32"/>
          <w:szCs w:val="32"/>
        </w:rPr>
        <w:t>滨海水务公司</w:t>
      </w:r>
      <w:r>
        <w:rPr>
          <w:rFonts w:hint="eastAsia" w:ascii="仿宋" w:hAnsi="仿宋" w:eastAsia="仿宋" w:cs="仿宋"/>
          <w:color w:val="auto"/>
          <w:kern w:val="0"/>
          <w:sz w:val="32"/>
          <w:szCs w:val="32"/>
          <w:lang w:val="en-US" w:eastAsia="zh-CN"/>
        </w:rPr>
        <w:t>综合管理部</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联系电话：0591-87529791。</w:t>
      </w:r>
    </w:p>
    <w:p>
      <w:pPr>
        <w:widowControl/>
        <w:numPr>
          <w:ilvl w:val="0"/>
          <w:numId w:val="2"/>
        </w:numPr>
        <w:spacing w:line="240" w:lineRule="auto"/>
        <w:ind w:firstLine="480" w:firstLineChars="15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备注：</w:t>
      </w:r>
    </w:p>
    <w:p>
      <w:pPr>
        <w:widowControl/>
        <w:numPr>
          <w:ilvl w:val="0"/>
          <w:numId w:val="3"/>
        </w:numPr>
        <w:spacing w:line="240" w:lineRule="auto"/>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本次询价采购设定总价最高限价人民币</w:t>
      </w:r>
      <w:r>
        <w:rPr>
          <w:rFonts w:hint="eastAsia" w:ascii="仿宋" w:hAnsi="仿宋" w:eastAsia="仿宋" w:cs="仿宋"/>
          <w:color w:val="auto"/>
          <w:kern w:val="0"/>
          <w:sz w:val="32"/>
          <w:szCs w:val="32"/>
          <w:u w:val="single"/>
          <w:lang w:val="en-US" w:eastAsia="zh-CN"/>
        </w:rPr>
        <w:t>30000.00</w:t>
      </w:r>
      <w:r>
        <w:rPr>
          <w:rFonts w:hint="eastAsia" w:ascii="仿宋" w:hAnsi="仿宋" w:eastAsia="仿宋" w:cs="仿宋"/>
          <w:b/>
          <w:color w:val="auto"/>
          <w:kern w:val="0"/>
          <w:sz w:val="32"/>
          <w:szCs w:val="32"/>
        </w:rPr>
        <w:t>元</w:t>
      </w:r>
      <w:r>
        <w:rPr>
          <w:rFonts w:hint="eastAsia" w:ascii="仿宋" w:hAnsi="仿宋" w:eastAsia="仿宋" w:cs="仿宋"/>
          <w:color w:val="auto"/>
          <w:kern w:val="0"/>
          <w:sz w:val="32"/>
          <w:szCs w:val="32"/>
        </w:rPr>
        <w:t>（大写：</w:t>
      </w:r>
      <w:r>
        <w:rPr>
          <w:rFonts w:hint="eastAsia" w:ascii="仿宋" w:hAnsi="仿宋" w:eastAsia="仿宋" w:cs="仿宋"/>
          <w:color w:val="auto"/>
          <w:kern w:val="0"/>
          <w:sz w:val="32"/>
          <w:szCs w:val="32"/>
          <w:lang w:val="en-US" w:eastAsia="zh-CN"/>
        </w:rPr>
        <w:t>叁万元整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报价人报价超出最高限价的则为无效报价</w:t>
      </w:r>
      <w:r>
        <w:rPr>
          <w:rFonts w:hint="eastAsia" w:ascii="仿宋" w:hAnsi="仿宋" w:eastAsia="仿宋" w:cs="仿宋"/>
          <w:color w:val="auto"/>
          <w:kern w:val="0"/>
          <w:sz w:val="32"/>
          <w:szCs w:val="32"/>
          <w:lang w:eastAsia="zh-CN"/>
        </w:rPr>
        <w:t>。报价人</w:t>
      </w:r>
      <w:r>
        <w:rPr>
          <w:rFonts w:hint="eastAsia" w:ascii="仿宋" w:hAnsi="仿宋" w:eastAsia="仿宋" w:cs="仿宋"/>
          <w:bCs w:val="0"/>
          <w:color w:val="auto"/>
          <w:sz w:val="32"/>
          <w:szCs w:val="32"/>
        </w:rPr>
        <w:t>根据自身实际情况做出报价，</w:t>
      </w:r>
      <w:r>
        <w:rPr>
          <w:rFonts w:hint="eastAsia" w:ascii="仿宋" w:hAnsi="仿宋" w:eastAsia="仿宋" w:cs="仿宋"/>
          <w:bCs w:val="0"/>
          <w:color w:val="auto"/>
          <w:sz w:val="32"/>
          <w:szCs w:val="32"/>
          <w:lang w:val="en-US" w:eastAsia="zh-CN"/>
        </w:rPr>
        <w:t>报价包括履行本项目所需的一切费用。</w:t>
      </w:r>
    </w:p>
    <w:p>
      <w:pPr>
        <w:widowControl/>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本次询价项目签订固定</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价合同</w:t>
      </w:r>
      <w:bookmarkStart w:id="11" w:name="_GoBack"/>
      <w:bookmarkEnd w:id="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报价人应充分考虑由此可能导致的各种风险</w:t>
      </w:r>
      <w:r>
        <w:rPr>
          <w:rFonts w:hint="eastAsia" w:ascii="仿宋" w:hAnsi="仿宋" w:eastAsia="仿宋" w:cs="仿宋"/>
          <w:color w:val="auto"/>
          <w:kern w:val="2"/>
          <w:sz w:val="32"/>
          <w:szCs w:val="32"/>
        </w:rPr>
        <w:t>。</w:t>
      </w:r>
    </w:p>
    <w:p>
      <w:pPr>
        <w:widowControl/>
        <w:numPr>
          <w:ilvl w:val="0"/>
          <w:numId w:val="4"/>
        </w:numPr>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违约责任：详见《</w:t>
      </w:r>
      <w:r>
        <w:rPr>
          <w:rFonts w:hint="eastAsia" w:ascii="仿宋" w:hAnsi="仿宋" w:eastAsia="仿宋" w:cs="仿宋"/>
          <w:b w:val="0"/>
          <w:bCs w:val="0"/>
          <w:color w:val="auto"/>
          <w:spacing w:val="0"/>
          <w:w w:val="100"/>
          <w:kern w:val="0"/>
          <w:position w:val="0"/>
          <w:sz w:val="32"/>
          <w:szCs w:val="32"/>
          <w:shd w:val="clear"/>
          <w:lang w:val="en-US" w:eastAsia="zh-CN" w:bidi="ar-SA"/>
        </w:rPr>
        <w:t>生活污水微动力处理设备</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合同</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约定。</w:t>
      </w:r>
    </w:p>
    <w:p>
      <w:pPr>
        <w:widowControl/>
        <w:snapToGrid w:val="0"/>
        <w:spacing w:line="240" w:lineRule="auto"/>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二、报价须知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报价人需</w:t>
      </w:r>
      <w:r>
        <w:rPr>
          <w:rFonts w:hint="eastAsia" w:ascii="仿宋" w:hAnsi="仿宋" w:eastAsia="仿宋" w:cs="仿宋"/>
          <w:color w:val="auto"/>
          <w:sz w:val="32"/>
          <w:szCs w:val="32"/>
        </w:rPr>
        <w:t>提供：</w:t>
      </w:r>
      <w:r>
        <w:rPr>
          <w:rFonts w:hint="eastAsia" w:ascii="仿宋" w:hAnsi="仿宋" w:eastAsia="仿宋" w:cs="仿宋"/>
          <w:b/>
          <w:color w:val="auto"/>
          <w:sz w:val="32"/>
          <w:szCs w:val="32"/>
        </w:rPr>
        <w:t>营业执照复印件、法定代表人授权委托书、法定代表人身份证复印件、委托人身份证复印件</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产品售后服务内容</w:t>
      </w:r>
      <w:r>
        <w:rPr>
          <w:rFonts w:hint="eastAsia" w:ascii="仿宋" w:hAnsi="仿宋" w:eastAsia="仿宋" w:cs="仿宋"/>
          <w:color w:val="auto"/>
          <w:sz w:val="32"/>
          <w:szCs w:val="32"/>
        </w:rPr>
        <w:t>，以上文件需加盖公章，</w:t>
      </w:r>
      <w:r>
        <w:rPr>
          <w:rFonts w:hint="eastAsia" w:ascii="仿宋" w:hAnsi="仿宋" w:eastAsia="仿宋" w:cs="仿宋"/>
          <w:color w:val="auto"/>
          <w:kern w:val="0"/>
          <w:sz w:val="32"/>
          <w:szCs w:val="32"/>
        </w:rPr>
        <w:t>原件待</w:t>
      </w:r>
      <w:r>
        <w:rPr>
          <w:rFonts w:hint="eastAsia" w:ascii="仿宋" w:hAnsi="仿宋" w:eastAsia="仿宋" w:cs="仿宋"/>
          <w:color w:val="auto"/>
          <w:kern w:val="0"/>
          <w:sz w:val="32"/>
          <w:szCs w:val="32"/>
          <w:lang w:eastAsia="zh-CN"/>
        </w:rPr>
        <w:t>采购方</w:t>
      </w:r>
      <w:r>
        <w:rPr>
          <w:rFonts w:hint="eastAsia" w:ascii="仿宋" w:hAnsi="仿宋" w:eastAsia="仿宋" w:cs="仿宋"/>
          <w:color w:val="auto"/>
          <w:kern w:val="0"/>
          <w:sz w:val="32"/>
          <w:szCs w:val="32"/>
        </w:rPr>
        <w:t>需要时备查</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未按此要求的，将被视为无效报价文件。</w:t>
      </w:r>
    </w:p>
    <w:p>
      <w:pPr>
        <w:spacing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报价人报价的服务必须符合“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spacing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报价人应遵守相关法规，若报价人违反规定，依照违规情节将其列入违规供应商名单，停止其一个月以上、三年以内的报价资格。</w:t>
      </w:r>
    </w:p>
    <w:p>
      <w:pPr>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无论报价过程中的做法和结果如何，报价人自行承担所有参与报价的全部有关费用。</w:t>
      </w:r>
    </w:p>
    <w:p>
      <w:pPr>
        <w:widowControl/>
        <w:autoSpaceDE/>
        <w:autoSpaceDN/>
        <w:adjustRightInd/>
        <w:snapToGrid w:val="0"/>
        <w:spacing w:line="240" w:lineRule="auto"/>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 评审办法、时间及地点</w:t>
      </w:r>
    </w:p>
    <w:p>
      <w:pPr>
        <w:autoSpaceDE w:val="0"/>
        <w:autoSpaceDN w:val="0"/>
        <w:adjustRightInd w:val="0"/>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1.评审办法：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中选原则：</w:t>
      </w:r>
      <w:r>
        <w:rPr>
          <w:rFonts w:hint="eastAsia" w:ascii="仿宋" w:hAnsi="仿宋" w:eastAsia="仿宋" w:cs="仿宋"/>
          <w:bCs w:val="0"/>
          <w:color w:val="auto"/>
          <w:sz w:val="32"/>
          <w:szCs w:val="32"/>
        </w:rPr>
        <w:t>本项目在报价资料符合要求的情况下，根据最低价中</w:t>
      </w:r>
      <w:r>
        <w:rPr>
          <w:rFonts w:hint="eastAsia" w:ascii="仿宋" w:hAnsi="仿宋" w:eastAsia="仿宋" w:cs="仿宋"/>
          <w:bCs w:val="0"/>
          <w:color w:val="auto"/>
          <w:sz w:val="32"/>
          <w:szCs w:val="32"/>
          <w:lang w:val="en-US" w:eastAsia="zh-CN"/>
        </w:rPr>
        <w:t>选</w:t>
      </w:r>
      <w:r>
        <w:rPr>
          <w:rFonts w:hint="eastAsia" w:ascii="仿宋" w:hAnsi="仿宋" w:eastAsia="仿宋" w:cs="仿宋"/>
          <w:bCs w:val="0"/>
          <w:color w:val="auto"/>
          <w:sz w:val="32"/>
          <w:szCs w:val="32"/>
        </w:rPr>
        <w:t>原则进行比选。</w:t>
      </w:r>
      <w:r>
        <w:rPr>
          <w:rFonts w:hint="eastAsia" w:ascii="仿宋" w:hAnsi="仿宋" w:eastAsia="仿宋" w:cs="仿宋"/>
          <w:color w:val="auto"/>
          <w:kern w:val="0"/>
          <w:sz w:val="32"/>
          <w:szCs w:val="32"/>
        </w:rPr>
        <w:t>总价报价或分项单价报价超过最高限价，按无效报价处理。在资格条件符合要求的情况下，以总价报价最低者中选。若遇报价人报价相同的情况，评委</w:t>
      </w:r>
      <w:r>
        <w:rPr>
          <w:rFonts w:hint="eastAsia" w:ascii="仿宋" w:hAnsi="仿宋" w:eastAsia="仿宋" w:cs="仿宋"/>
          <w:color w:val="auto"/>
          <w:kern w:val="0"/>
          <w:sz w:val="32"/>
          <w:szCs w:val="32"/>
          <w:lang w:val="en-US" w:eastAsia="zh-CN"/>
        </w:rPr>
        <w:t>小组</w:t>
      </w:r>
      <w:r>
        <w:rPr>
          <w:rFonts w:hint="eastAsia" w:ascii="仿宋" w:hAnsi="仿宋" w:eastAsia="仿宋" w:cs="仿宋"/>
          <w:color w:val="auto"/>
          <w:kern w:val="0"/>
          <w:sz w:val="32"/>
          <w:szCs w:val="32"/>
        </w:rPr>
        <w:t>将以现场随机抽取的方式确定中选供应商</w:t>
      </w:r>
      <w:r>
        <w:rPr>
          <w:rFonts w:hint="eastAsia" w:ascii="仿宋" w:hAnsi="仿宋" w:eastAsia="仿宋" w:cs="仿宋"/>
          <w:color w:val="auto"/>
          <w:kern w:val="0"/>
          <w:sz w:val="32"/>
          <w:szCs w:val="32"/>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本项目提交报价的供应商或经评审符合要求的供应商仅有2家时，直接在这2家供应商中进行价格比选，以总价报价最低者中选；</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本项目提交报价的供应商或经评审符合要求的供应商仅有1家时，与该供应商协商谈判后直接采购。</w:t>
      </w:r>
    </w:p>
    <w:p>
      <w:pPr>
        <w:widowControl/>
        <w:autoSpaceDE/>
        <w:autoSpaceDN/>
        <w:adjustRightInd/>
        <w:snapToGrid w:val="0"/>
        <w:spacing w:line="24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2.评审时间及地点：</w:t>
      </w:r>
      <w:r>
        <w:rPr>
          <w:rFonts w:hint="eastAsia" w:ascii="仿宋" w:hAnsi="仿宋" w:eastAsia="仿宋" w:cs="仿宋"/>
          <w:color w:val="auto"/>
          <w:kern w:val="0"/>
          <w:sz w:val="32"/>
          <w:szCs w:val="32"/>
          <w:highlight w:val="none"/>
          <w:lang w:val="en-US" w:eastAsia="zh-CN"/>
        </w:rPr>
        <w:t>2023年7月13日下午14时00分</w:t>
      </w:r>
      <w:r>
        <w:rPr>
          <w:rFonts w:hint="eastAsia" w:ascii="仿宋" w:hAnsi="仿宋" w:eastAsia="仿宋" w:cs="仿宋"/>
          <w:color w:val="auto"/>
          <w:kern w:val="0"/>
          <w:sz w:val="32"/>
          <w:szCs w:val="32"/>
          <w:highlight w:val="none"/>
        </w:rPr>
        <w:t>于福州市滨海水务发展有限公司确定成交供应商。</w:t>
      </w:r>
    </w:p>
    <w:p>
      <w:pPr>
        <w:widowControl/>
        <w:autoSpaceDE/>
        <w:autoSpaceDN/>
        <w:adjustRightInd/>
        <w:snapToGrid w:val="0"/>
        <w:spacing w:line="240" w:lineRule="auto"/>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四、签订合同 </w:t>
      </w:r>
    </w:p>
    <w:p>
      <w:pPr>
        <w:adjustRightInd w:val="0"/>
        <w:snapToGrid w:val="0"/>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在通知成交后，根据</w:t>
      </w:r>
      <w:r>
        <w:rPr>
          <w:rFonts w:hint="eastAsia" w:ascii="仿宋" w:hAnsi="仿宋" w:eastAsia="仿宋" w:cs="仿宋"/>
          <w:color w:val="auto"/>
          <w:kern w:val="0"/>
          <w:sz w:val="32"/>
          <w:szCs w:val="32"/>
          <w:lang w:eastAsia="zh-CN"/>
        </w:rPr>
        <w:t>采购方</w:t>
      </w:r>
      <w:r>
        <w:rPr>
          <w:rFonts w:hint="eastAsia" w:ascii="仿宋" w:hAnsi="仿宋" w:eastAsia="仿宋" w:cs="仿宋"/>
          <w:color w:val="auto"/>
          <w:kern w:val="0"/>
          <w:sz w:val="32"/>
          <w:szCs w:val="32"/>
        </w:rPr>
        <w:t>要求在规定时间内签订合同。</w:t>
      </w:r>
    </w:p>
    <w:p>
      <w:pPr>
        <w:widowControl/>
        <w:adjustRightInd/>
        <w:snapToGrid w:val="0"/>
        <w:spacing w:line="240" w:lineRule="auto"/>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五、询价结果确认</w:t>
      </w:r>
    </w:p>
    <w:p>
      <w:pPr>
        <w:widowControl/>
        <w:spacing w:line="24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rPr>
        <w:t>确定成交供应商后五个工作日内，成交结果</w:t>
      </w:r>
      <w:r>
        <w:rPr>
          <w:rFonts w:hint="eastAsia" w:ascii="仿宋" w:hAnsi="仿宋" w:eastAsia="仿宋" w:cs="仿宋"/>
          <w:color w:val="auto"/>
          <w:sz w:val="32"/>
          <w:szCs w:val="32"/>
        </w:rPr>
        <w:t>将以电话形式告知成交供应商。</w:t>
      </w:r>
    </w:p>
    <w:p>
      <w:pPr>
        <w:pStyle w:val="11"/>
        <w:spacing w:line="240" w:lineRule="auto"/>
        <w:ind w:left="0" w:leftChars="0"/>
        <w:rPr>
          <w:rFonts w:hint="eastAsia" w:ascii="仿宋" w:hAnsi="仿宋" w:eastAsia="仿宋" w:cs="仿宋"/>
          <w:color w:val="auto"/>
          <w:sz w:val="32"/>
          <w:szCs w:val="32"/>
        </w:rPr>
      </w:pPr>
    </w:p>
    <w:p>
      <w:pPr>
        <w:widowControl/>
        <w:spacing w:line="240" w:lineRule="auto"/>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附件：1.技术参数要求</w:t>
      </w:r>
    </w:p>
    <w:p>
      <w:pPr>
        <w:widowControl/>
        <w:spacing w:line="240" w:lineRule="auto"/>
        <w:ind w:firstLine="1600" w:firstLineChars="5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b w:val="0"/>
          <w:bCs w:val="0"/>
          <w:color w:val="auto"/>
          <w:spacing w:val="0"/>
          <w:w w:val="100"/>
          <w:kern w:val="0"/>
          <w:position w:val="0"/>
          <w:sz w:val="32"/>
          <w:szCs w:val="32"/>
          <w:shd w:val="clear"/>
          <w:lang w:val="en-US" w:eastAsia="zh-CN" w:bidi="ar-SA"/>
        </w:rPr>
        <w:t>生活污水微动力处理设备</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合同</w:t>
      </w:r>
    </w:p>
    <w:p>
      <w:pPr>
        <w:widowControl/>
        <w:spacing w:line="240" w:lineRule="auto"/>
        <w:ind w:firstLine="0" w:firstLineChars="0"/>
        <w:jc w:val="right"/>
        <w:rPr>
          <w:rFonts w:hint="eastAsia" w:ascii="仿宋" w:hAnsi="仿宋" w:eastAsia="仿宋" w:cs="仿宋"/>
          <w:color w:val="auto"/>
          <w:kern w:val="0"/>
          <w:sz w:val="32"/>
          <w:szCs w:val="32"/>
        </w:rPr>
      </w:pPr>
    </w:p>
    <w:p>
      <w:pPr>
        <w:widowControl/>
        <w:spacing w:line="240" w:lineRule="auto"/>
        <w:ind w:firstLine="0" w:firstLineChars="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福州市滨海水务发展有限公司</w:t>
      </w:r>
    </w:p>
    <w:p>
      <w:pPr>
        <w:widowControl/>
        <w:wordWrap w:val="0"/>
        <w:spacing w:line="240" w:lineRule="auto"/>
        <w:ind w:firstLine="0" w:firstLineChars="0"/>
        <w:jc w:val="righ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 xml:space="preserve"> </w:t>
      </w:r>
    </w:p>
    <w:p>
      <w:pPr>
        <w:widowControl/>
        <w:wordWrap/>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附件1：技术参数要求</w:t>
      </w:r>
    </w:p>
    <w:p>
      <w:pPr>
        <w:rPr>
          <w:rFonts w:hint="eastAsia" w:ascii="宋体" w:hAnsi="宋体" w:eastAsia="宋体" w:cs="宋体"/>
          <w:sz w:val="24"/>
          <w:szCs w:val="24"/>
          <w:lang w:val="en-US" w:eastAsia="zh-CN"/>
        </w:rPr>
      </w:pPr>
    </w:p>
    <w:p>
      <w:pPr>
        <w:pStyle w:val="4"/>
        <w:tabs>
          <w:tab w:val="left" w:pos="576"/>
        </w:tabs>
      </w:pPr>
      <w:bookmarkStart w:id="6" w:name="_Toc19801"/>
      <w:r>
        <w:rPr>
          <w:rFonts w:hint="eastAsia"/>
          <w:lang w:val="en-US" w:eastAsia="zh-CN"/>
        </w:rPr>
        <w:t>一、</w:t>
      </w:r>
      <w:r>
        <w:t>项目规模</w:t>
      </w:r>
      <w:bookmarkEnd w:id="6"/>
    </w:p>
    <w:p>
      <w:pPr>
        <w:spacing w:line="360" w:lineRule="auto"/>
        <w:ind w:firstLine="480" w:firstLineChars="200"/>
        <w:rPr>
          <w:rFonts w:hint="eastAsia"/>
        </w:rPr>
      </w:pPr>
      <w:r>
        <w:rPr>
          <w:rFonts w:ascii="Times New Roman" w:hAnsi="Times New Roman" w:cs="Times New Roman"/>
        </w:rPr>
        <w:t>单台设备处理规模</w:t>
      </w:r>
      <w:r>
        <w:rPr>
          <w:rFonts w:hint="eastAsia" w:ascii="Times New Roman" w:hAnsi="Times New Roman" w:cs="Times New Roman"/>
        </w:rPr>
        <w:t>1T/d</w:t>
      </w:r>
      <w:r>
        <w:rPr>
          <w:rFonts w:hint="eastAsia" w:ascii="Times New Roman" w:hAnsi="Times New Roman" w:cs="Times New Roman"/>
          <w:lang w:eastAsia="zh-CN"/>
        </w:rPr>
        <w:t>，</w:t>
      </w:r>
      <w:r>
        <w:rPr>
          <w:rFonts w:hint="eastAsia"/>
        </w:rPr>
        <w:t>不包括污水收集管网设计、建设。</w:t>
      </w:r>
    </w:p>
    <w:p>
      <w:pPr>
        <w:pStyle w:val="4"/>
        <w:tabs>
          <w:tab w:val="left" w:pos="576"/>
        </w:tabs>
        <w:ind w:left="0" w:leftChars="0" w:firstLine="0" w:firstLineChars="0"/>
        <w:rPr>
          <w:rFonts w:hint="default" w:eastAsia="宋体"/>
          <w:lang w:val="en-US" w:eastAsia="zh-CN"/>
        </w:rPr>
      </w:pPr>
      <w:r>
        <w:rPr>
          <w:rFonts w:hint="eastAsia"/>
          <w:lang w:val="en-US" w:eastAsia="zh-CN"/>
        </w:rPr>
        <w:t>二、产品要求</w:t>
      </w:r>
    </w:p>
    <w:p>
      <w:pPr>
        <w:spacing w:before="156" w:beforeLines="50" w:after="156" w:afterLines="50" w:line="360" w:lineRule="auto"/>
        <w:rPr>
          <w:rFonts w:hint="eastAsia" w:eastAsia="宋体"/>
          <w:lang w:eastAsia="zh-CN"/>
        </w:rPr>
      </w:pPr>
      <w:r>
        <w:rPr>
          <w:rFonts w:hint="eastAsia"/>
          <w:lang w:val="en-US" w:eastAsia="zh-CN"/>
        </w:rPr>
        <w:t>1、低</w:t>
      </w:r>
      <w:r>
        <w:rPr>
          <w:rFonts w:hint="eastAsia"/>
        </w:rPr>
        <w:t>噪音</w:t>
      </w:r>
      <w:r>
        <w:rPr>
          <w:rFonts w:hint="eastAsia"/>
          <w:lang w:eastAsia="zh-CN"/>
        </w:rPr>
        <w:t>，</w:t>
      </w:r>
      <w:r>
        <w:rPr>
          <w:rFonts w:hint="eastAsia"/>
        </w:rPr>
        <w:t>选用静音气泵，噪音级（1m）≤44dB</w:t>
      </w:r>
      <w:r>
        <w:rPr>
          <w:rFonts w:hint="eastAsia"/>
          <w:lang w:eastAsia="zh-CN"/>
        </w:rPr>
        <w:t>；</w:t>
      </w:r>
    </w:p>
    <w:p>
      <w:pPr>
        <w:spacing w:before="156" w:beforeLines="50" w:after="156" w:afterLines="50" w:line="360" w:lineRule="auto"/>
        <w:rPr>
          <w:rFonts w:hint="eastAsia"/>
        </w:rPr>
      </w:pPr>
      <w:r>
        <w:rPr>
          <w:rFonts w:hint="eastAsia"/>
          <w:lang w:val="en-US" w:eastAsia="zh-CN"/>
        </w:rPr>
        <w:t>2、低</w:t>
      </w:r>
      <w:r>
        <w:rPr>
          <w:rFonts w:hint="eastAsia"/>
        </w:rPr>
        <w:t>产泥</w:t>
      </w:r>
      <w:r>
        <w:rPr>
          <w:rFonts w:hint="eastAsia"/>
          <w:lang w:eastAsia="zh-CN"/>
        </w:rPr>
        <w:t>，</w:t>
      </w:r>
      <w:r>
        <w:rPr>
          <w:rFonts w:hint="eastAsia"/>
          <w:lang w:val="en-US" w:eastAsia="zh-CN"/>
        </w:rPr>
        <w:t>污泥清理周期6个月以上</w:t>
      </w:r>
      <w:r>
        <w:rPr>
          <w:rFonts w:hint="eastAsia"/>
        </w:rPr>
        <w:t>；</w:t>
      </w:r>
    </w:p>
    <w:p>
      <w:pPr>
        <w:spacing w:before="156" w:beforeLines="50" w:after="156" w:afterLines="50" w:line="360" w:lineRule="auto"/>
        <w:rPr>
          <w:rFonts w:hint="default"/>
          <w:lang w:val="en-US" w:eastAsia="zh-CN"/>
        </w:rPr>
      </w:pPr>
      <w:r>
        <w:rPr>
          <w:rFonts w:hint="eastAsia"/>
          <w:lang w:val="en-US" w:eastAsia="zh-CN"/>
        </w:rPr>
        <w:t>3、设备体积不大于4立方米，采用一体化架构，可地埋或露天放置，应能根据现场实际安装条件进行调整。</w:t>
      </w:r>
    </w:p>
    <w:p>
      <w:pPr>
        <w:spacing w:before="156" w:beforeLines="50" w:after="156" w:afterLines="50" w:line="360" w:lineRule="auto"/>
        <w:rPr>
          <w:rFonts w:hint="eastAsia"/>
          <w:lang w:eastAsia="zh-CN"/>
        </w:rPr>
      </w:pPr>
      <w:r>
        <w:rPr>
          <w:rFonts w:hint="eastAsia"/>
          <w:lang w:val="en-US" w:eastAsia="zh-CN"/>
        </w:rPr>
        <w:t>4、应采用AO或者A²O工艺，出水水质执行一级B标准。</w:t>
      </w:r>
    </w:p>
    <w:p>
      <w:pPr>
        <w:pStyle w:val="4"/>
        <w:tabs>
          <w:tab w:val="left" w:pos="576"/>
        </w:tabs>
      </w:pPr>
      <w:bookmarkStart w:id="7" w:name="_Toc3798012"/>
      <w:bookmarkStart w:id="8" w:name="_Toc46308226"/>
      <w:bookmarkStart w:id="9" w:name="_Toc22925"/>
      <w:bookmarkStart w:id="10" w:name="_Toc476907933"/>
      <w:r>
        <w:rPr>
          <w:rFonts w:hint="eastAsia"/>
          <w:lang w:val="en-US" w:eastAsia="zh-CN"/>
        </w:rPr>
        <w:t>三、</w:t>
      </w:r>
      <w:r>
        <w:rPr>
          <w:rFonts w:hint="eastAsia"/>
        </w:rPr>
        <w:t>进水水质及出水水质标准</w:t>
      </w:r>
      <w:bookmarkEnd w:id="7"/>
      <w:bookmarkEnd w:id="8"/>
      <w:bookmarkEnd w:id="9"/>
      <w:bookmarkEnd w:id="10"/>
    </w:p>
    <w:p>
      <w:pPr>
        <w:spacing w:before="156" w:beforeLines="50" w:after="156" w:afterLines="50" w:line="360" w:lineRule="auto"/>
        <w:ind w:firstLine="480" w:firstLineChars="200"/>
      </w:pPr>
      <w:r>
        <w:rPr>
          <w:rFonts w:hint="eastAsia"/>
        </w:rPr>
        <w:t>本项目处理</w:t>
      </w:r>
      <w:r>
        <w:t>污水主要为生活污水，</w:t>
      </w:r>
      <w:r>
        <w:rPr>
          <w:rFonts w:hint="eastAsia"/>
        </w:rPr>
        <w:t>现</w:t>
      </w:r>
      <w:r>
        <w:t>确定本项目的进水水质</w:t>
      </w:r>
      <w:r>
        <w:rPr>
          <w:rFonts w:hint="eastAsia"/>
        </w:rPr>
        <w:t>污染物参数</w:t>
      </w:r>
      <w:r>
        <w:t>如表</w:t>
      </w:r>
      <w:r>
        <w:rPr>
          <w:rFonts w:hint="eastAsia"/>
        </w:rPr>
        <w:t>1.</w:t>
      </w:r>
      <w:r>
        <w:rPr>
          <w:rFonts w:hint="eastAsia"/>
          <w:lang w:val="en-US" w:eastAsia="zh-CN"/>
        </w:rPr>
        <w:t>1</w:t>
      </w:r>
      <w:r>
        <w:rPr>
          <w:rFonts w:hint="eastAsia"/>
        </w:rPr>
        <w:t>.1所示。处理后排放标准</w:t>
      </w:r>
      <w:r>
        <w:t>达到</w:t>
      </w:r>
      <w:r>
        <w:rPr>
          <w:rFonts w:hint="eastAsia"/>
        </w:rPr>
        <w:t>《村庄生活污水治理水污染物排放标准》</w:t>
      </w:r>
      <w:r>
        <w:t>DB32/T 3462-20</w:t>
      </w:r>
      <w:r>
        <w:rPr>
          <w:rFonts w:hint="eastAsia"/>
        </w:rPr>
        <w:t xml:space="preserve">20一级B标准。    </w:t>
      </w:r>
    </w:p>
    <w:p>
      <w:pPr>
        <w:spacing w:before="156" w:beforeLines="50" w:after="156" w:afterLines="50" w:line="240" w:lineRule="exact"/>
        <w:jc w:val="center"/>
        <w:rPr>
          <w:rFonts w:ascii="Times New Roman" w:hAnsi="Times New Roman" w:cs="Times New Roman"/>
          <w:b/>
          <w:szCs w:val="21"/>
        </w:rPr>
      </w:pPr>
      <w:r>
        <w:rPr>
          <w:b/>
          <w:szCs w:val="21"/>
        </w:rPr>
        <w:t>表</w:t>
      </w:r>
      <w:r>
        <w:rPr>
          <w:rFonts w:hint="eastAsia"/>
          <w:b/>
          <w:szCs w:val="21"/>
        </w:rPr>
        <w:t>1.</w:t>
      </w:r>
      <w:r>
        <w:rPr>
          <w:rFonts w:hint="eastAsia"/>
          <w:b/>
          <w:szCs w:val="21"/>
          <w:lang w:val="en-US" w:eastAsia="zh-CN"/>
        </w:rPr>
        <w:t>1</w:t>
      </w:r>
      <w:r>
        <w:rPr>
          <w:rFonts w:hint="eastAsia"/>
          <w:b/>
          <w:szCs w:val="21"/>
        </w:rPr>
        <w:t>.1</w:t>
      </w:r>
      <w:r>
        <w:rPr>
          <w:b/>
          <w:szCs w:val="21"/>
        </w:rPr>
        <w:t xml:space="preserve">  进水水质</w:t>
      </w:r>
      <w:r>
        <w:rPr>
          <w:rFonts w:hint="eastAsia"/>
          <w:b/>
          <w:szCs w:val="21"/>
        </w:rPr>
        <w:t xml:space="preserve">表 </w:t>
      </w:r>
      <w:r>
        <w:rPr>
          <w:rFonts w:hint="eastAsia" w:ascii="Times New Roman" w:hAnsi="Times New Roman" w:cs="Times New Roman"/>
          <w:b/>
          <w:szCs w:val="21"/>
        </w:rPr>
        <w:t>单位为mg/L</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36"/>
        <w:gridCol w:w="1270"/>
        <w:gridCol w:w="1132"/>
        <w:gridCol w:w="1132"/>
        <w:gridCol w:w="1087"/>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项目</w:t>
            </w:r>
          </w:p>
        </w:tc>
        <w:tc>
          <w:tcPr>
            <w:tcW w:w="936"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pH值</w:t>
            </w:r>
          </w:p>
        </w:tc>
        <w:tc>
          <w:tcPr>
            <w:tcW w:w="127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COD</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BOD</w:t>
            </w:r>
            <w:r>
              <w:rPr>
                <w:rFonts w:hint="eastAsia" w:ascii="仿宋" w:hAnsi="仿宋" w:eastAsia="仿宋" w:cs="Times New Roman"/>
                <w:sz w:val="21"/>
                <w:szCs w:val="21"/>
                <w:vertAlign w:val="subscript"/>
              </w:rPr>
              <w:t>5</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SS</w:t>
            </w:r>
          </w:p>
        </w:tc>
        <w:tc>
          <w:tcPr>
            <w:tcW w:w="1087"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NH</w:t>
            </w:r>
            <w:r>
              <w:rPr>
                <w:rFonts w:hint="eastAsia" w:ascii="仿宋" w:hAnsi="仿宋" w:eastAsia="仿宋" w:cs="Times New Roman"/>
                <w:sz w:val="21"/>
                <w:szCs w:val="21"/>
                <w:vertAlign w:val="subscript"/>
              </w:rPr>
              <w:t>3</w:t>
            </w:r>
            <w:r>
              <w:rPr>
                <w:rFonts w:hint="eastAsia" w:ascii="仿宋" w:hAnsi="仿宋" w:eastAsia="仿宋" w:cs="Times New Roman"/>
                <w:sz w:val="21"/>
                <w:szCs w:val="21"/>
              </w:rPr>
              <w:t>-N</w:t>
            </w:r>
          </w:p>
        </w:tc>
        <w:tc>
          <w:tcPr>
            <w:tcW w:w="99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TN</w:t>
            </w:r>
          </w:p>
        </w:tc>
        <w:tc>
          <w:tcPr>
            <w:tcW w:w="113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范围</w:t>
            </w:r>
          </w:p>
        </w:tc>
        <w:tc>
          <w:tcPr>
            <w:tcW w:w="936"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6～8</w:t>
            </w:r>
          </w:p>
        </w:tc>
        <w:tc>
          <w:tcPr>
            <w:tcW w:w="127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200～450</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150～250</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150～250</w:t>
            </w:r>
          </w:p>
        </w:tc>
        <w:tc>
          <w:tcPr>
            <w:tcW w:w="1087"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20～45</w:t>
            </w:r>
          </w:p>
        </w:tc>
        <w:tc>
          <w:tcPr>
            <w:tcW w:w="99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30～60</w:t>
            </w:r>
          </w:p>
        </w:tc>
        <w:tc>
          <w:tcPr>
            <w:tcW w:w="1130" w:type="dxa"/>
            <w:vAlign w:val="center"/>
          </w:tcPr>
          <w:p>
            <w:pPr>
              <w:pStyle w:val="41"/>
              <w:jc w:val="both"/>
              <w:rPr>
                <w:rFonts w:ascii="仿宋" w:hAnsi="仿宋" w:eastAsia="仿宋" w:cs="Times New Roman"/>
                <w:sz w:val="21"/>
                <w:szCs w:val="21"/>
              </w:rPr>
            </w:pPr>
            <w:r>
              <w:rPr>
                <w:rFonts w:hint="eastAsia" w:ascii="仿宋" w:hAnsi="仿宋" w:eastAsia="仿宋" w:cs="Times New Roman"/>
                <w:sz w:val="21"/>
                <w:szCs w:val="21"/>
              </w:rPr>
              <w:t>3.0～6.0</w:t>
            </w:r>
          </w:p>
        </w:tc>
      </w:tr>
    </w:tbl>
    <w:p>
      <w:pPr>
        <w:pStyle w:val="53"/>
      </w:pPr>
    </w:p>
    <w:p>
      <w:pPr>
        <w:spacing w:before="156" w:beforeLines="50" w:after="156" w:afterLines="50" w:line="240" w:lineRule="exact"/>
        <w:jc w:val="center"/>
        <w:rPr>
          <w:rFonts w:ascii="Times New Roman" w:hAnsi="Times New Roman" w:cs="Times New Roman"/>
          <w:b/>
          <w:szCs w:val="21"/>
        </w:rPr>
      </w:pPr>
      <w:r>
        <w:rPr>
          <w:rFonts w:hint="eastAsia" w:ascii="Times New Roman" w:hAnsi="Times New Roman" w:cs="Times New Roman"/>
          <w:b/>
          <w:szCs w:val="21"/>
        </w:rPr>
        <w:t>表</w:t>
      </w:r>
      <w:r>
        <w:rPr>
          <w:rFonts w:hint="eastAsia"/>
          <w:b/>
          <w:szCs w:val="21"/>
        </w:rPr>
        <w:t>1.</w:t>
      </w:r>
      <w:r>
        <w:rPr>
          <w:rFonts w:hint="eastAsia"/>
          <w:b/>
          <w:szCs w:val="21"/>
          <w:lang w:val="en-US" w:eastAsia="zh-CN"/>
        </w:rPr>
        <w:t>1</w:t>
      </w:r>
      <w:r>
        <w:rPr>
          <w:rFonts w:hint="eastAsia"/>
          <w:b/>
          <w:szCs w:val="21"/>
        </w:rPr>
        <w:t>.2</w:t>
      </w:r>
      <w:r>
        <w:rPr>
          <w:rFonts w:hint="eastAsia" w:ascii="Times New Roman" w:hAnsi="Times New Roman" w:cs="Times New Roman"/>
          <w:b/>
          <w:szCs w:val="21"/>
        </w:rPr>
        <w:t xml:space="preserve"> </w:t>
      </w:r>
      <w:r>
        <w:rPr>
          <w:b/>
          <w:szCs w:val="21"/>
        </w:rPr>
        <w:t xml:space="preserve"> </w:t>
      </w:r>
      <w:r>
        <w:rPr>
          <w:rFonts w:hint="eastAsia"/>
          <w:b/>
          <w:szCs w:val="21"/>
        </w:rPr>
        <w:t>出</w:t>
      </w:r>
      <w:r>
        <w:rPr>
          <w:b/>
          <w:szCs w:val="21"/>
        </w:rPr>
        <w:t>水水质</w:t>
      </w:r>
      <w:r>
        <w:rPr>
          <w:rFonts w:hint="eastAsia"/>
          <w:b/>
          <w:szCs w:val="21"/>
        </w:rPr>
        <w:t>表</w:t>
      </w:r>
      <w:r>
        <w:rPr>
          <w:rFonts w:hint="eastAsia" w:ascii="Times New Roman" w:hAnsi="Times New Roman" w:cs="Times New Roman"/>
          <w:b/>
          <w:szCs w:val="21"/>
        </w:rPr>
        <w:t>基本控制项目排放限值   单位为mg/L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9"/>
        <w:gridCol w:w="1121"/>
        <w:gridCol w:w="1358"/>
        <w:gridCol w:w="183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6"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序号</w:t>
            </w:r>
          </w:p>
        </w:tc>
        <w:tc>
          <w:tcPr>
            <w:tcW w:w="1739"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控制项目</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一级标准</w:t>
            </w:r>
          </w:p>
        </w:tc>
        <w:tc>
          <w:tcPr>
            <w:tcW w:w="1833" w:type="dxa"/>
            <w:vMerge w:val="restart"/>
            <w:vAlign w:val="center"/>
          </w:tcPr>
          <w:p>
            <w:pPr>
              <w:widowControl/>
              <w:jc w:val="center"/>
              <w:rPr>
                <w:rFonts w:ascii="仿宋" w:hAnsi="仿宋" w:eastAsia="仿宋"/>
                <w:kern w:val="0"/>
                <w:szCs w:val="21"/>
              </w:rPr>
            </w:pPr>
            <w:r>
              <w:rPr>
                <w:rFonts w:hint="eastAsia" w:ascii="仿宋" w:hAnsi="仿宋" w:eastAsia="仿宋"/>
                <w:kern w:val="0"/>
                <w:szCs w:val="21"/>
              </w:rPr>
              <w:t>二级标准</w:t>
            </w:r>
          </w:p>
        </w:tc>
        <w:tc>
          <w:tcPr>
            <w:tcW w:w="1835"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36" w:type="dxa"/>
            <w:vMerge w:val="continue"/>
            <w:vAlign w:val="center"/>
          </w:tcPr>
          <w:p>
            <w:pPr>
              <w:widowControl/>
              <w:rPr>
                <w:rFonts w:ascii="仿宋" w:hAnsi="仿宋" w:eastAsia="仿宋"/>
                <w:kern w:val="0"/>
                <w:szCs w:val="21"/>
              </w:rPr>
            </w:pPr>
          </w:p>
        </w:tc>
        <w:tc>
          <w:tcPr>
            <w:tcW w:w="1739" w:type="dxa"/>
            <w:vMerge w:val="continue"/>
            <w:vAlign w:val="center"/>
          </w:tcPr>
          <w:p>
            <w:pPr>
              <w:widowControl/>
              <w:rPr>
                <w:rFonts w:ascii="仿宋" w:hAnsi="仿宋" w:eastAsia="仿宋"/>
                <w:kern w:val="0"/>
                <w:szCs w:val="21"/>
              </w:rPr>
            </w:pP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A标准</w:t>
            </w:r>
          </w:p>
        </w:tc>
        <w:tc>
          <w:tcPr>
            <w:tcW w:w="1358" w:type="dxa"/>
            <w:noWrap/>
            <w:vAlign w:val="center"/>
          </w:tcPr>
          <w:p>
            <w:pPr>
              <w:widowControl/>
              <w:jc w:val="center"/>
              <w:rPr>
                <w:rFonts w:ascii="仿宋" w:hAnsi="仿宋" w:eastAsia="仿宋"/>
                <w:kern w:val="0"/>
                <w:szCs w:val="21"/>
              </w:rPr>
            </w:pPr>
            <w:r>
              <w:rPr>
                <w:rFonts w:hint="eastAsia" w:ascii="仿宋" w:hAnsi="仿宋" w:eastAsia="仿宋"/>
                <w:kern w:val="0"/>
                <w:szCs w:val="21"/>
              </w:rPr>
              <w:t>B标准</w:t>
            </w:r>
          </w:p>
        </w:tc>
        <w:tc>
          <w:tcPr>
            <w:tcW w:w="1833" w:type="dxa"/>
            <w:vMerge w:val="continue"/>
          </w:tcPr>
          <w:p>
            <w:pPr>
              <w:widowControl/>
              <w:rPr>
                <w:rFonts w:ascii="仿宋" w:hAnsi="仿宋" w:eastAsia="仿宋"/>
                <w:kern w:val="0"/>
                <w:szCs w:val="21"/>
              </w:rPr>
            </w:pPr>
          </w:p>
        </w:tc>
        <w:tc>
          <w:tcPr>
            <w:tcW w:w="1835" w:type="dxa"/>
            <w:vMerge w:val="continue"/>
            <w:vAlign w:val="center"/>
          </w:tcPr>
          <w:p>
            <w:pPr>
              <w:widowControl/>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P</w:t>
            </w:r>
            <w:r>
              <w:rPr>
                <w:rFonts w:ascii="仿宋" w:hAnsi="仿宋" w:eastAsia="仿宋"/>
                <w:kern w:val="0"/>
                <w:szCs w:val="21"/>
              </w:rPr>
              <w:t>H</w:t>
            </w:r>
          </w:p>
        </w:tc>
        <w:tc>
          <w:tcPr>
            <w:tcW w:w="6147" w:type="dxa"/>
            <w:gridSpan w:val="4"/>
            <w:noWrap/>
            <w:vAlign w:val="center"/>
          </w:tcPr>
          <w:p>
            <w:pPr>
              <w:widowControl/>
              <w:jc w:val="center"/>
              <w:rPr>
                <w:rFonts w:ascii="仿宋" w:hAnsi="仿宋" w:eastAsia="仿宋"/>
                <w:kern w:val="0"/>
                <w:szCs w:val="21"/>
              </w:rPr>
            </w:pPr>
            <w:r>
              <w:rPr>
                <w:rFonts w:hint="eastAsia" w:ascii="仿宋" w:hAnsi="仿宋" w:eastAsia="仿宋"/>
                <w:kern w:val="0"/>
                <w:szCs w:val="21"/>
              </w:rPr>
              <w:t>6</w:t>
            </w:r>
            <w:r>
              <w:rPr>
                <w:rFonts w:ascii="仿宋" w:hAnsi="仿宋" w:eastAsia="仿宋"/>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C</w:t>
            </w:r>
            <w:r>
              <w:rPr>
                <w:rFonts w:ascii="仿宋" w:hAnsi="仿宋" w:eastAsia="仿宋"/>
                <w:kern w:val="0"/>
                <w:szCs w:val="21"/>
              </w:rPr>
              <w:t>OD</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6</w:t>
            </w:r>
            <w:r>
              <w:rPr>
                <w:rFonts w:ascii="仿宋" w:hAnsi="仿宋" w:eastAsia="仿宋"/>
                <w:kern w:val="0"/>
                <w:szCs w:val="21"/>
              </w:rPr>
              <w:t>0</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00</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S</w:t>
            </w:r>
            <w:r>
              <w:rPr>
                <w:rFonts w:ascii="仿宋" w:hAnsi="仿宋" w:eastAsia="仿宋"/>
                <w:kern w:val="0"/>
                <w:szCs w:val="21"/>
              </w:rPr>
              <w:t>S</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3</w:t>
            </w:r>
            <w:r>
              <w:rPr>
                <w:rFonts w:ascii="仿宋" w:hAnsi="仿宋" w:eastAsia="仿宋"/>
                <w:kern w:val="0"/>
                <w:szCs w:val="21"/>
              </w:rPr>
              <w:t>0</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5</w:t>
            </w:r>
            <w:r>
              <w:rPr>
                <w:rFonts w:ascii="仿宋" w:hAnsi="仿宋"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4</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N</w:t>
            </w:r>
            <w:r>
              <w:rPr>
                <w:rFonts w:ascii="仿宋" w:hAnsi="仿宋" w:eastAsia="仿宋"/>
                <w:kern w:val="0"/>
                <w:szCs w:val="21"/>
              </w:rPr>
              <w:t>H</w:t>
            </w:r>
            <w:r>
              <w:rPr>
                <w:rFonts w:ascii="仿宋" w:hAnsi="仿宋" w:eastAsia="仿宋"/>
                <w:kern w:val="0"/>
                <w:szCs w:val="21"/>
                <w:vertAlign w:val="subscript"/>
              </w:rPr>
              <w:t>3</w:t>
            </w:r>
            <w:r>
              <w:rPr>
                <w:rFonts w:ascii="仿宋" w:hAnsi="仿宋" w:eastAsia="仿宋"/>
                <w:kern w:val="0"/>
                <w:szCs w:val="21"/>
              </w:rPr>
              <w:t>-N</w:t>
            </w:r>
            <w:r>
              <w:rPr>
                <w:rFonts w:hint="eastAsia" w:ascii="仿宋" w:hAnsi="仿宋" w:eastAsia="仿宋"/>
                <w:kern w:val="0"/>
                <w:szCs w:val="21"/>
              </w:rPr>
              <w:t>（以N计）</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8（1</w:t>
            </w:r>
            <w:r>
              <w:rPr>
                <w:rFonts w:ascii="仿宋" w:hAnsi="仿宋" w:eastAsia="仿宋"/>
                <w:kern w:val="0"/>
                <w:szCs w:val="21"/>
              </w:rPr>
              <w:t>5</w:t>
            </w:r>
            <w:r>
              <w:rPr>
                <w:rFonts w:hint="eastAsia" w:ascii="仿宋" w:hAnsi="仿宋" w:eastAsia="仿宋"/>
                <w:kern w:val="0"/>
                <w:szCs w:val="21"/>
              </w:rPr>
              <w:t>）</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5</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5</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T</w:t>
            </w:r>
            <w:r>
              <w:rPr>
                <w:rFonts w:ascii="仿宋" w:hAnsi="仿宋" w:eastAsia="仿宋"/>
                <w:kern w:val="0"/>
                <w:szCs w:val="21"/>
              </w:rPr>
              <w:t>N</w:t>
            </w:r>
            <w:r>
              <w:rPr>
                <w:rFonts w:hint="eastAsia" w:ascii="仿宋" w:hAnsi="仿宋" w:eastAsia="仿宋"/>
                <w:kern w:val="0"/>
                <w:szCs w:val="21"/>
              </w:rPr>
              <w:t>（以N计）</w:t>
            </w: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c>
          <w:tcPr>
            <w:tcW w:w="3191"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r>
              <w:rPr>
                <w:rFonts w:ascii="仿宋" w:hAnsi="仿宋" w:eastAsia="仿宋"/>
                <w:kern w:val="0"/>
                <w:szCs w:val="21"/>
              </w:rPr>
              <w:t>0</w:t>
            </w:r>
            <w:r>
              <w:rPr>
                <w:rFonts w:hint="eastAsia" w:ascii="仿宋" w:hAnsi="仿宋" w:eastAsia="仿宋"/>
                <w:kern w:val="0"/>
                <w:szCs w:val="21"/>
                <w:vertAlign w:val="superscript"/>
              </w:rPr>
              <w:t>b</w:t>
            </w:r>
          </w:p>
        </w:tc>
        <w:tc>
          <w:tcPr>
            <w:tcW w:w="1835" w:type="dxa"/>
            <w:noWrap/>
            <w:vAlign w:val="center"/>
          </w:tcPr>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6</w:t>
            </w:r>
          </w:p>
        </w:tc>
        <w:tc>
          <w:tcPr>
            <w:tcW w:w="1739" w:type="dxa"/>
            <w:noWrap/>
            <w:vAlign w:val="center"/>
          </w:tcPr>
          <w:p>
            <w:pPr>
              <w:widowControl/>
              <w:jc w:val="center"/>
              <w:rPr>
                <w:rFonts w:ascii="仿宋" w:hAnsi="仿宋" w:eastAsia="仿宋"/>
                <w:kern w:val="0"/>
                <w:szCs w:val="21"/>
              </w:rPr>
            </w:pPr>
            <w:r>
              <w:rPr>
                <w:rFonts w:ascii="仿宋" w:hAnsi="仿宋" w:eastAsia="仿宋"/>
                <w:kern w:val="0"/>
                <w:szCs w:val="21"/>
              </w:rPr>
              <w:t>TP</w:t>
            </w:r>
            <w:r>
              <w:rPr>
                <w:rFonts w:hint="eastAsia" w:ascii="仿宋" w:hAnsi="仿宋" w:eastAsia="仿宋"/>
                <w:kern w:val="0"/>
                <w:szCs w:val="21"/>
              </w:rPr>
              <w:t>（以P计）</w:t>
            </w: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3191"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r>
              <w:rPr>
                <w:rFonts w:hint="eastAsia" w:ascii="仿宋" w:hAnsi="仿宋" w:eastAsia="仿宋"/>
                <w:kern w:val="0"/>
                <w:szCs w:val="21"/>
                <w:vertAlign w:val="superscript"/>
              </w:rPr>
              <w:t>c</w:t>
            </w:r>
          </w:p>
        </w:tc>
        <w:tc>
          <w:tcPr>
            <w:tcW w:w="1835" w:type="dxa"/>
            <w:noWrap/>
            <w:vAlign w:val="center"/>
          </w:tcPr>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ascii="仿宋" w:hAnsi="仿宋" w:eastAsia="仿宋"/>
                <w:kern w:val="0"/>
                <w:szCs w:val="21"/>
              </w:rPr>
              <w:t>7</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动植物油</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5</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22" w:type="dxa"/>
            <w:gridSpan w:val="6"/>
            <w:noWrap/>
            <w:vAlign w:val="center"/>
          </w:tcPr>
          <w:p>
            <w:pPr>
              <w:widowControl/>
              <w:rPr>
                <w:rFonts w:ascii="仿宋" w:hAnsi="仿宋" w:eastAsia="仿宋"/>
                <w:kern w:val="0"/>
                <w:szCs w:val="21"/>
              </w:rPr>
            </w:pPr>
            <w:r>
              <w:rPr>
                <w:rFonts w:hint="eastAsia" w:ascii="仿宋" w:hAnsi="仿宋" w:eastAsia="仿宋"/>
                <w:kern w:val="0"/>
                <w:szCs w:val="21"/>
              </w:rPr>
              <w:t>设计日处理能力＜5m³的农村生活污水处理设施不考虑总氨和总磷。</w:t>
            </w:r>
          </w:p>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exact"/>
        </w:trPr>
        <w:tc>
          <w:tcPr>
            <w:tcW w:w="8522" w:type="dxa"/>
            <w:gridSpan w:val="6"/>
            <w:noWrap/>
            <w:vAlign w:val="center"/>
          </w:tcPr>
          <w:p>
            <w:pPr>
              <w:widowControl/>
              <w:rPr>
                <w:rFonts w:ascii="仿宋" w:hAnsi="仿宋" w:eastAsia="仿宋" w:cs="Times New Roman"/>
                <w:kern w:val="0"/>
                <w:szCs w:val="21"/>
              </w:rPr>
            </w:pPr>
            <w:r>
              <w:rPr>
                <w:rFonts w:hint="eastAsia" w:ascii="仿宋" w:hAnsi="仿宋" w:eastAsia="仿宋" w:cs="Times New Roman"/>
                <w:kern w:val="0"/>
                <w:szCs w:val="21"/>
              </w:rPr>
              <w:t>a括号外数值为水温＞12℃时的排放限值，括号内数值为水温≤12℃时的排放限值</w:t>
            </w:r>
          </w:p>
          <w:p>
            <w:pPr>
              <w:widowControl/>
              <w:rPr>
                <w:rFonts w:ascii="仿宋" w:hAnsi="仿宋" w:eastAsia="仿宋" w:cs="Times New Roman"/>
                <w:kern w:val="0"/>
                <w:szCs w:val="21"/>
              </w:rPr>
            </w:pPr>
            <w:r>
              <w:rPr>
                <w:rFonts w:hint="eastAsia" w:ascii="仿宋" w:hAnsi="仿宋" w:eastAsia="仿宋" w:cs="Times New Roman"/>
                <w:kern w:val="0"/>
                <w:szCs w:val="21"/>
              </w:rPr>
              <w:t>b针对排放对象为封闭、半封闭水体（含湖库、池塘、端头滨）或超标因子为氯的不达标水体。</w:t>
            </w:r>
          </w:p>
          <w:p>
            <w:pPr>
              <w:widowControl/>
              <w:rPr>
                <w:rFonts w:ascii="仿宋" w:hAnsi="仿宋" w:eastAsia="仿宋" w:cs="Times New Roman"/>
                <w:kern w:val="0"/>
                <w:szCs w:val="21"/>
              </w:rPr>
            </w:pPr>
            <w:r>
              <w:rPr>
                <w:rFonts w:hint="eastAsia" w:ascii="仿宋" w:hAnsi="仿宋" w:eastAsia="仿宋" w:cs="Times New Roman"/>
                <w:kern w:val="0"/>
                <w:szCs w:val="21"/>
              </w:rPr>
              <w:t>c针对排放对象为封闭、半封闭水体（含湖库、池塘、端头滨）或超标因子为磷的不达标水体。</w:t>
            </w:r>
          </w:p>
          <w:p>
            <w:pPr>
              <w:widowControl/>
              <w:rPr>
                <w:rFonts w:ascii="仿宋" w:hAnsi="仿宋" w:eastAsia="仿宋" w:cs="Times New Roman"/>
                <w:kern w:val="0"/>
                <w:szCs w:val="21"/>
              </w:rPr>
            </w:pPr>
            <w:r>
              <w:rPr>
                <w:rFonts w:hint="eastAsia" w:ascii="仿宋" w:hAnsi="仿宋" w:eastAsia="仿宋" w:cs="Times New Roman"/>
                <w:kern w:val="0"/>
                <w:szCs w:val="21"/>
              </w:rPr>
              <w:t>d针对接纳餐饮废水的农村生活污水处理设施。</w:t>
            </w:r>
          </w:p>
          <w:p>
            <w:pPr>
              <w:pStyle w:val="53"/>
              <w:rPr>
                <w:rFonts w:ascii="仿宋" w:hAnsi="仿宋" w:eastAsia="仿宋"/>
                <w:szCs w:val="21"/>
              </w:rPr>
            </w:pPr>
          </w:p>
        </w:tc>
      </w:tr>
    </w:tbl>
    <w:p>
      <w:pPr>
        <w:rPr>
          <w:rFonts w:hint="eastAsia"/>
          <w:lang w:val="en-US" w:eastAsia="zh-CN"/>
        </w:rPr>
      </w:pP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w:t>
      </w:r>
    </w:p>
    <w:p>
      <w:pPr>
        <w:widowControl/>
        <w:spacing w:line="240" w:lineRule="auto"/>
        <w:ind w:firstLine="0" w:firstLineChars="0"/>
        <w:jc w:val="center"/>
        <w:rPr>
          <w:rFonts w:hint="eastAsia" w:ascii="黑体" w:hAnsi="黑体" w:eastAsia="黑体" w:cs="黑体"/>
          <w:b/>
          <w:bCs/>
          <w:color w:val="auto"/>
          <w:spacing w:val="113"/>
          <w:w w:val="100"/>
          <w:kern w:val="2"/>
          <w:position w:val="0"/>
          <w:sz w:val="48"/>
          <w:szCs w:val="48"/>
          <w:highlight w:val="none"/>
          <w:shd w:val="clear"/>
          <w:lang w:val="en-US" w:eastAsia="zh-CN" w:bidi="ar-SA"/>
        </w:rPr>
      </w:pPr>
    </w:p>
    <w:p>
      <w:pPr>
        <w:spacing w:line="240" w:lineRule="auto"/>
        <w:jc w:val="center"/>
        <w:rPr>
          <w:rFonts w:hint="eastAsia" w:ascii="黑体" w:hAnsi="黑体" w:eastAsia="黑体" w:cs="黑体"/>
          <w:b/>
          <w:bCs/>
          <w:color w:val="auto"/>
          <w:sz w:val="52"/>
          <w:szCs w:val="52"/>
        </w:rPr>
      </w:pPr>
    </w:p>
    <w:p>
      <w:pPr>
        <w:spacing w:line="240"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采 购 合 同</w:t>
      </w:r>
    </w:p>
    <w:p>
      <w:pPr>
        <w:spacing w:line="240" w:lineRule="auto"/>
        <w:jc w:val="both"/>
        <w:rPr>
          <w:rFonts w:hint="eastAsia" w:hAnsi="宋体"/>
          <w:b/>
          <w:color w:val="auto"/>
          <w:sz w:val="28"/>
          <w:szCs w:val="30"/>
        </w:rPr>
      </w:pPr>
    </w:p>
    <w:p>
      <w:pPr>
        <w:widowControl/>
        <w:spacing w:line="240" w:lineRule="auto"/>
        <w:ind w:leftChars="600"/>
        <w:jc w:val="left"/>
        <w:rPr>
          <w:rFonts w:hint="eastAsia" w:hAnsi="宋体"/>
          <w:b/>
          <w:color w:val="auto"/>
          <w:sz w:val="28"/>
          <w:szCs w:val="30"/>
          <w:lang w:val="en-US" w:eastAsia="zh-CN"/>
        </w:rPr>
      </w:pPr>
      <w:r>
        <w:rPr>
          <w:rFonts w:hint="eastAsia" w:hAnsi="宋体"/>
          <w:b/>
          <w:color w:val="auto"/>
          <w:sz w:val="28"/>
          <w:szCs w:val="30"/>
        </w:rPr>
        <w:t>项目名称：</w:t>
      </w:r>
      <w:r>
        <w:rPr>
          <w:rFonts w:hint="eastAsia" w:hAnsi="宋体"/>
          <w:b/>
          <w:color w:val="auto"/>
          <w:sz w:val="28"/>
          <w:szCs w:val="30"/>
          <w:lang w:eastAsia="zh-CN"/>
        </w:rPr>
        <w:t>生活污水微动力处理设备</w:t>
      </w:r>
    </w:p>
    <w:p>
      <w:pPr>
        <w:widowControl/>
        <w:snapToGrid/>
        <w:spacing w:line="240" w:lineRule="auto"/>
        <w:ind w:leftChars="600" w:firstLine="0" w:firstLineChars="0"/>
        <w:jc w:val="left"/>
        <w:rPr>
          <w:rFonts w:hint="eastAsia" w:ascii="Times New Roman" w:hAnsi="宋体" w:eastAsia="宋体" w:cs="Times New Roman"/>
          <w:b/>
          <w:color w:val="auto"/>
          <w:sz w:val="28"/>
          <w:szCs w:val="30"/>
          <w:lang w:val="en-US" w:eastAsia="zh-CN"/>
        </w:rPr>
      </w:pPr>
      <w:r>
        <w:rPr>
          <w:rFonts w:hint="eastAsia" w:hAnsi="宋体"/>
          <w:b/>
          <w:color w:val="auto"/>
          <w:sz w:val="28"/>
          <w:szCs w:val="30"/>
        </w:rPr>
        <w:t>项目</w:t>
      </w:r>
      <w:r>
        <w:rPr>
          <w:rFonts w:hint="eastAsia" w:hAnsi="宋体"/>
          <w:b/>
          <w:color w:val="auto"/>
          <w:sz w:val="28"/>
          <w:szCs w:val="30"/>
          <w:lang w:val="en-US" w:eastAsia="zh-CN"/>
        </w:rPr>
        <w:t>编号</w:t>
      </w:r>
      <w:r>
        <w:rPr>
          <w:rFonts w:hint="eastAsia" w:hAnsi="宋体"/>
          <w:b/>
          <w:color w:val="auto"/>
          <w:sz w:val="28"/>
          <w:szCs w:val="30"/>
        </w:rPr>
        <w:t>：</w:t>
      </w:r>
      <w:r>
        <w:rPr>
          <w:rFonts w:hint="eastAsia" w:hAnsi="宋体" w:eastAsia="宋体" w:cs="Times New Roman"/>
          <w:b/>
          <w:color w:val="auto"/>
          <w:sz w:val="28"/>
          <w:szCs w:val="30"/>
          <w:lang w:eastAsia="zh-CN"/>
        </w:rPr>
        <w:t>BHSW2023CG-037</w:t>
      </w:r>
    </w:p>
    <w:p>
      <w:pPr>
        <w:pStyle w:val="2"/>
        <w:spacing w:line="240" w:lineRule="auto"/>
        <w:ind w:leftChars="600"/>
        <w:rPr>
          <w:color w:val="auto"/>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widowControl/>
        <w:spacing w:line="240" w:lineRule="auto"/>
        <w:ind w:leftChars="600" w:firstLine="0" w:firstLineChars="0"/>
        <w:rPr>
          <w:rFonts w:hint="eastAsia" w:ascii="Times New Roman" w:hAnsi="宋体" w:eastAsia="Times New Roman" w:cs="Times New Roman"/>
          <w:b/>
          <w:color w:val="auto"/>
          <w:sz w:val="28"/>
          <w:szCs w:val="30"/>
          <w:highlight w:val="none"/>
          <w:u w:val="none"/>
        </w:rPr>
      </w:pPr>
      <w:r>
        <w:rPr>
          <w:rFonts w:hint="eastAsia" w:ascii="Times New Roman" w:hAnsi="宋体" w:eastAsia="Times New Roman" w:cs="Times New Roman"/>
          <w:b/>
          <w:color w:val="auto"/>
          <w:sz w:val="28"/>
          <w:szCs w:val="30"/>
          <w:highlight w:val="none"/>
        </w:rPr>
        <w:t>甲    方</w:t>
      </w:r>
      <w:r>
        <w:rPr>
          <w:rFonts w:hint="eastAsia" w:hAnsi="宋体" w:eastAsia="Times New Roman" w:cs="Times New Roman"/>
          <w:b/>
          <w:color w:val="auto"/>
          <w:sz w:val="28"/>
          <w:szCs w:val="30"/>
          <w:lang w:eastAsia="zh-CN"/>
        </w:rPr>
        <w:t>：</w:t>
      </w:r>
      <w:r>
        <w:rPr>
          <w:rFonts w:hint="eastAsia" w:hAnsi="宋体"/>
          <w:b/>
          <w:color w:val="auto"/>
          <w:sz w:val="28"/>
          <w:szCs w:val="30"/>
        </w:rPr>
        <w:t>福州市滨海水务发展有限公司</w:t>
      </w:r>
    </w:p>
    <w:p>
      <w:pPr>
        <w:widowControl/>
        <w:spacing w:line="240" w:lineRule="auto"/>
        <w:ind w:leftChars="600" w:firstLine="0" w:firstLineChars="0"/>
        <w:rPr>
          <w:rFonts w:hint="eastAsia" w:ascii="Times New Roman" w:hAnsi="宋体" w:eastAsia="Times New Roman" w:cs="Times New Roman"/>
          <w:b/>
          <w:color w:val="auto"/>
          <w:sz w:val="28"/>
          <w:szCs w:val="30"/>
          <w:highlight w:val="none"/>
        </w:rPr>
      </w:pPr>
      <w:r>
        <w:rPr>
          <w:rFonts w:hint="eastAsia" w:ascii="Times New Roman" w:hAnsi="宋体" w:eastAsia="Times New Roman" w:cs="Times New Roman"/>
          <w:b/>
          <w:color w:val="auto"/>
          <w:sz w:val="28"/>
          <w:szCs w:val="30"/>
          <w:highlight w:val="none"/>
        </w:rPr>
        <w:t>乙    方：</w:t>
      </w:r>
    </w:p>
    <w:p>
      <w:pPr>
        <w:spacing w:line="240" w:lineRule="auto"/>
        <w:rPr>
          <w:rFonts w:hint="eastAsia" w:ascii="Times New Roman" w:hAnsi="宋体" w:eastAsia="Times New Roman" w:cs="Times New Roman"/>
          <w:b/>
          <w:color w:val="auto"/>
          <w:sz w:val="28"/>
          <w:szCs w:val="30"/>
        </w:rPr>
      </w:pPr>
      <w:r>
        <w:rPr>
          <w:rFonts w:hint="eastAsia" w:ascii="Times New Roman" w:hAnsi="宋体" w:eastAsia="Times New Roman" w:cs="Times New Roman"/>
          <w:b/>
          <w:color w:val="auto"/>
          <w:sz w:val="28"/>
          <w:szCs w:val="30"/>
        </w:rPr>
        <w:br w:type="page"/>
      </w:r>
    </w:p>
    <w:p>
      <w:pPr>
        <w:widowControl/>
        <w:adjustRightInd w:val="0"/>
        <w:snapToGrid w:val="0"/>
        <w:spacing w:line="240" w:lineRule="auto"/>
        <w:ind w:firstLine="480" w:firstLineChars="200"/>
        <w:jc w:val="left"/>
        <w:rPr>
          <w:rFonts w:ascii="仿宋" w:hAnsi="仿宋" w:eastAsia="仿宋"/>
          <w:color w:val="auto"/>
          <w:kern w:val="0"/>
          <w:sz w:val="24"/>
        </w:rPr>
      </w:pPr>
      <w:r>
        <w:rPr>
          <w:rFonts w:hint="eastAsia" w:ascii="仿宋" w:hAnsi="仿宋" w:eastAsia="仿宋"/>
          <w:color w:val="auto"/>
          <w:kern w:val="0"/>
          <w:sz w:val="24"/>
          <w:lang w:eastAsia="ja-JP"/>
        </w:rPr>
        <w:t>甲方（以下称甲方）：</w:t>
      </w:r>
      <w:r>
        <w:rPr>
          <w:rFonts w:hint="eastAsia" w:ascii="仿宋" w:hAnsi="仿宋" w:eastAsia="仿宋"/>
          <w:color w:val="auto"/>
          <w:kern w:val="0"/>
          <w:sz w:val="24"/>
          <w:u w:val="single"/>
        </w:rPr>
        <w:t>福州市滨海水务发展有限公司</w:t>
      </w:r>
    </w:p>
    <w:p>
      <w:pPr>
        <w:widowControl/>
        <w:adjustRightInd w:val="0"/>
        <w:snapToGrid w:val="0"/>
        <w:spacing w:line="240" w:lineRule="auto"/>
        <w:ind w:firstLine="480" w:firstLineChars="200"/>
        <w:jc w:val="left"/>
        <w:rPr>
          <w:rFonts w:hint="default" w:ascii="仿宋" w:hAnsi="仿宋" w:eastAsia="仿宋"/>
          <w:color w:val="auto"/>
          <w:kern w:val="0"/>
          <w:sz w:val="24"/>
          <w:highlight w:val="none"/>
          <w:lang w:val="en-US" w:eastAsia="zh-CN"/>
        </w:rPr>
      </w:pPr>
      <w:r>
        <w:rPr>
          <w:rFonts w:hint="eastAsia" w:ascii="仿宋" w:hAnsi="仿宋" w:eastAsia="仿宋"/>
          <w:color w:val="auto"/>
          <w:kern w:val="0"/>
          <w:sz w:val="24"/>
          <w:highlight w:val="none"/>
          <w:lang w:eastAsia="ja-JP"/>
        </w:rPr>
        <w:t>乙方（以下称乙方）：</w:t>
      </w:r>
      <w:r>
        <w:rPr>
          <w:rFonts w:hint="eastAsia" w:ascii="仿宋" w:hAnsi="仿宋" w:eastAsia="仿宋"/>
          <w:color w:val="auto"/>
          <w:kern w:val="0"/>
          <w:sz w:val="24"/>
          <w:highlight w:val="none"/>
          <w:u w:val="single"/>
          <w:lang w:eastAsia="zh-CN"/>
        </w:rPr>
        <w:t xml:space="preserve"> </w:t>
      </w:r>
      <w:r>
        <w:rPr>
          <w:rFonts w:hint="eastAsia" w:ascii="仿宋" w:hAnsi="仿宋" w:eastAsia="仿宋"/>
          <w:color w:val="auto"/>
          <w:kern w:val="0"/>
          <w:sz w:val="24"/>
          <w:highlight w:val="none"/>
          <w:u w:val="single"/>
          <w:lang w:val="en-US" w:eastAsia="zh-CN"/>
        </w:rPr>
        <w:t xml:space="preserve">                         </w:t>
      </w:r>
    </w:p>
    <w:p>
      <w:pPr>
        <w:widowControl/>
        <w:adjustRightInd w:val="0"/>
        <w:snapToGrid w:val="0"/>
        <w:spacing w:line="240" w:lineRule="auto"/>
        <w:ind w:firstLine="480" w:firstLineChars="200"/>
        <w:jc w:val="left"/>
        <w:rPr>
          <w:rFonts w:hint="eastAsia" w:ascii="仿宋" w:hAnsi="仿宋" w:eastAsia="仿宋"/>
          <w:color w:val="auto"/>
          <w:kern w:val="0"/>
          <w:sz w:val="24"/>
          <w:lang w:eastAsia="ja-JP"/>
        </w:rPr>
      </w:pPr>
    </w:p>
    <w:p>
      <w:pPr>
        <w:widowControl/>
        <w:adjustRightInd w:val="0"/>
        <w:snapToGrid w:val="0"/>
        <w:spacing w:line="500" w:lineRule="exact"/>
        <w:ind w:firstLine="480" w:firstLineChars="200"/>
        <w:rPr>
          <w:rFonts w:ascii="仿宋" w:hAnsi="仿宋" w:eastAsia="仿宋"/>
          <w:color w:val="auto"/>
          <w:lang w:eastAsia="ja-JP"/>
        </w:rPr>
      </w:pPr>
      <w:r>
        <w:rPr>
          <w:rFonts w:hint="eastAsia" w:ascii="仿宋" w:hAnsi="仿宋" w:eastAsia="仿宋"/>
          <w:color w:val="auto"/>
          <w:lang w:eastAsia="ja-JP"/>
        </w:rPr>
        <w:t>为明确买卖双方的权利和义务，保护双方合法权益，根据《中华人民共和国</w:t>
      </w:r>
      <w:r>
        <w:rPr>
          <w:rFonts w:hint="eastAsia" w:ascii="仿宋" w:hAnsi="仿宋" w:eastAsia="仿宋"/>
          <w:color w:val="auto"/>
          <w:lang w:eastAsia="zh-CN"/>
        </w:rPr>
        <w:t>民法典</w:t>
      </w:r>
      <w:r>
        <w:rPr>
          <w:rFonts w:hint="eastAsia" w:ascii="仿宋" w:hAnsi="仿宋" w:eastAsia="仿宋"/>
          <w:color w:val="auto"/>
          <w:lang w:eastAsia="ja-JP"/>
        </w:rPr>
        <w:t>》等相关法律、法规的规定，经双方友好协商，现签订本合同，以期共同遵守。</w:t>
      </w:r>
    </w:p>
    <w:p>
      <w:pPr>
        <w:widowControl/>
        <w:numPr>
          <w:ilvl w:val="0"/>
          <w:numId w:val="6"/>
        </w:numPr>
        <w:adjustRightInd w:val="0"/>
        <w:snapToGrid w:val="0"/>
        <w:spacing w:line="500" w:lineRule="exact"/>
        <w:ind w:firstLine="482" w:firstLineChars="200"/>
        <w:rPr>
          <w:rFonts w:ascii="仿宋" w:hAnsi="仿宋" w:eastAsia="仿宋"/>
          <w:b/>
          <w:bCs/>
          <w:color w:val="auto"/>
          <w:lang w:eastAsia="ja-JP"/>
        </w:rPr>
      </w:pPr>
      <w:r>
        <w:rPr>
          <w:rFonts w:hint="eastAsia" w:ascii="仿宋" w:hAnsi="仿宋" w:eastAsia="仿宋"/>
          <w:b/>
          <w:bCs/>
          <w:color w:val="auto"/>
          <w:lang w:eastAsia="ja-JP"/>
        </w:rPr>
        <w:t>产品清单及价格明细</w:t>
      </w:r>
    </w:p>
    <w:p>
      <w:pPr>
        <w:widowControl/>
        <w:numPr>
          <w:ilvl w:val="-1"/>
          <w:numId w:val="0"/>
        </w:numPr>
        <w:snapToGrid w:val="0"/>
        <w:spacing w:line="240" w:lineRule="auto"/>
        <w:ind w:leftChars="200" w:firstLine="0" w:firstLineChars="0"/>
        <w:rPr>
          <w:rFonts w:hint="eastAsia" w:ascii="黑体" w:hAnsi="黑体" w:eastAsia="黑体" w:cs="黑体"/>
          <w:b/>
          <w:color w:val="auto"/>
          <w:highlight w:val="none"/>
          <w:u w:val="none"/>
        </w:rPr>
      </w:pPr>
    </w:p>
    <w:tbl>
      <w:tblPr>
        <w:tblStyle w:val="23"/>
        <w:tblW w:w="8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2961"/>
        <w:gridCol w:w="2553"/>
        <w:gridCol w:w="927"/>
        <w:gridCol w:w="818"/>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color w:val="auto"/>
                <w:sz w:val="24"/>
              </w:rPr>
            </w:pPr>
            <w:r>
              <w:rPr>
                <w:color w:val="auto"/>
                <w:sz w:val="24"/>
              </w:rPr>
              <w:t>序号</w:t>
            </w:r>
          </w:p>
        </w:tc>
        <w:tc>
          <w:tcPr>
            <w:tcW w:w="29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51" w:hangingChars="63"/>
              <w:jc w:val="center"/>
              <w:rPr>
                <w:color w:val="auto"/>
                <w:sz w:val="24"/>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25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360" w:lineRule="auto"/>
              <w:ind w:left="124" w:leftChars="0" w:right="0" w:rightChars="0" w:hanging="124" w:hangingChars="52"/>
              <w:jc w:val="center"/>
              <w:rPr>
                <w:rFonts w:hint="default" w:eastAsia="仿宋"/>
                <w:color w:val="auto"/>
                <w:sz w:val="24"/>
                <w:lang w:val="en-US" w:eastAsia="zh-CN"/>
              </w:rPr>
            </w:pPr>
            <w:r>
              <w:rPr>
                <w:rFonts w:hint="eastAsia"/>
                <w:color w:val="000000"/>
                <w:sz w:val="24"/>
                <w:lang w:val="en-US" w:eastAsia="zh-CN"/>
              </w:rPr>
              <w:t>技术参数</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05" w:hangingChars="44"/>
              <w:jc w:val="center"/>
              <w:rPr>
                <w:color w:val="auto"/>
                <w:sz w:val="24"/>
              </w:rPr>
            </w:pPr>
            <w:r>
              <w:rPr>
                <w:rFonts w:hint="eastAsia"/>
                <w:color w:val="auto"/>
                <w:sz w:val="24"/>
                <w:lang w:val="en-US"/>
              </w:rPr>
              <w:t>单位</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69" w:hangingChars="29"/>
              <w:jc w:val="center"/>
              <w:rPr>
                <w:color w:val="auto"/>
                <w:sz w:val="24"/>
                <w:lang w:val="en-US"/>
              </w:rPr>
            </w:pPr>
            <w:r>
              <w:rPr>
                <w:rFonts w:hint="eastAsia"/>
                <w:color w:val="auto"/>
                <w:sz w:val="24"/>
                <w:lang w:val="en-US"/>
              </w:rPr>
              <w:t>数量</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default" w:eastAsia="仿宋"/>
                <w:color w:val="auto"/>
                <w:sz w:val="24"/>
                <w:lang w:val="en-US" w:eastAsia="zh-CN"/>
              </w:rPr>
            </w:pPr>
            <w:r>
              <w:rPr>
                <w:rFonts w:hint="eastAsia"/>
                <w:color w:val="auto"/>
                <w:sz w:val="24"/>
                <w:lang w:val="en-US" w:eastAsia="zh-CN"/>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color w:val="auto"/>
                <w:sz w:val="24"/>
                <w:lang w:val="en-US" w:eastAsia="zh-CN"/>
              </w:rPr>
            </w:pPr>
            <w:r>
              <w:rPr>
                <w:rFonts w:hint="eastAsia"/>
                <w:color w:val="auto"/>
                <w:sz w:val="24"/>
                <w:lang w:val="en-US" w:eastAsia="zh-CN"/>
              </w:rPr>
              <w:t>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生活污水微动力处理设备</w:t>
            </w:r>
          </w:p>
        </w:tc>
        <w:tc>
          <w:tcPr>
            <w:tcW w:w="25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仿宋" w:hAnsi="仿宋" w:eastAsia="仿宋" w:cs="仿宋"/>
              </w:rPr>
            </w:pPr>
          </w:p>
          <w:p>
            <w:pPr>
              <w:rPr>
                <w:rFonts w:hint="eastAsia" w:ascii="仿宋" w:hAnsi="仿宋" w:eastAsia="仿宋" w:cs="仿宋"/>
              </w:rPr>
            </w:pPr>
          </w:p>
          <w:p>
            <w:pPr>
              <w:rPr>
                <w:rFonts w:hint="default" w:ascii="仿宋" w:hAnsi="仿宋" w:eastAsia="仿宋" w:cs="仿宋"/>
                <w:lang w:val="en-US" w:eastAsia="zh-CN"/>
              </w:rPr>
            </w:pPr>
            <w:r>
              <w:rPr>
                <w:rFonts w:hint="eastAsia" w:ascii="仿宋" w:hAnsi="仿宋" w:eastAsia="仿宋" w:cs="仿宋"/>
                <w:lang w:val="en-US" w:eastAsia="zh-CN"/>
              </w:rPr>
              <w:t>详见附件</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41"/>
              <w:numPr>
                <w:ilvl w:val="-1"/>
                <w:numId w:val="0"/>
              </w:numPr>
              <w:spacing w:before="2" w:line="240" w:lineRule="auto"/>
              <w:ind w:left="0" w:leftChars="0" w:firstLine="0" w:firstLineChars="0"/>
              <w:jc w:val="left"/>
              <w:rPr>
                <w:rFonts w:hint="eastAsia" w:eastAsia="仿宋"/>
                <w:color w:val="auto"/>
                <w:sz w:val="24"/>
                <w:lang w:val="en-US" w:eastAsia="zh-CN"/>
              </w:rPr>
            </w:pP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套</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1</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eastAsia="仿宋"/>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exact"/>
          <w:jc w:val="center"/>
        </w:trPr>
        <w:tc>
          <w:tcPr>
            <w:tcW w:w="875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left"/>
              <w:rPr>
                <w:rFonts w:hint="eastAsia"/>
                <w:color w:val="auto"/>
                <w:sz w:val="24"/>
                <w:lang w:val="en-US" w:eastAsia="zh-CN"/>
              </w:rPr>
            </w:pPr>
            <w:r>
              <w:rPr>
                <w:rFonts w:hint="eastAsia" w:ascii="仿宋" w:hAnsi="仿宋" w:eastAsia="仿宋" w:cs="仿宋"/>
                <w:color w:val="auto"/>
                <w:sz w:val="24"/>
                <w:szCs w:val="24"/>
                <w:lang w:eastAsia="zh-CN"/>
              </w:rPr>
              <w:t>合同金额含税总价</w:t>
            </w:r>
            <w:r>
              <w:rPr>
                <w:rFonts w:hint="eastAsia" w:ascii="仿宋" w:hAnsi="仿宋" w:eastAsia="仿宋" w:cs="仿宋"/>
                <w:color w:val="auto"/>
                <w:sz w:val="24"/>
                <w:szCs w:val="24"/>
                <w:u w:val="single"/>
                <w:lang w:eastAsia="zh-CN"/>
              </w:rPr>
              <w:t xml:space="preserve">  </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元（大写：</w:t>
            </w:r>
            <w:r>
              <w:rPr>
                <w:rFonts w:hint="eastAsia" w:ascii="仿宋" w:hAnsi="仿宋" w:eastAsia="仿宋" w:cs="仿宋"/>
                <w:color w:val="auto"/>
                <w:sz w:val="24"/>
                <w:szCs w:val="24"/>
                <w:u w:val="single"/>
                <w:lang w:eastAsia="zh-CN"/>
              </w:rPr>
              <w:t xml:space="preserve">  </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）（税率</w:t>
            </w:r>
            <w:r>
              <w:rPr>
                <w:rFonts w:hint="eastAsia" w:ascii="仿宋" w:hAnsi="仿宋" w:eastAsia="仿宋" w:cs="仿宋"/>
                <w:color w:val="auto"/>
                <w:sz w:val="24"/>
                <w:szCs w:val="24"/>
                <w:u w:val="single"/>
                <w:lang w:eastAsia="zh-CN"/>
              </w:rPr>
              <w:t xml:space="preserve"> </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%，不含税价</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元，增值税</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元）</w:t>
            </w:r>
          </w:p>
        </w:tc>
      </w:tr>
    </w:tbl>
    <w:p>
      <w:pPr>
        <w:widowControl/>
        <w:numPr>
          <w:ilvl w:val="-1"/>
          <w:numId w:val="0"/>
        </w:numPr>
        <w:snapToGrid w:val="0"/>
        <w:spacing w:line="240" w:lineRule="auto"/>
        <w:ind w:leftChars="200" w:firstLine="0" w:firstLineChars="0"/>
        <w:rPr>
          <w:rFonts w:hint="eastAsia" w:ascii="黑体" w:hAnsi="黑体" w:eastAsia="黑体" w:cs="黑体"/>
          <w:b/>
          <w:color w:val="auto"/>
          <w:highlight w:val="none"/>
          <w:u w:val="none"/>
        </w:rPr>
      </w:pP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总金额包含上述所有货物涉及的有关项目的所有费用，包括：制造、专利费、包装、装卸、保险、所需附件费以及现场系统安装、调试、验收、人员培训、设施材料费、人工费、一切税金、保修费，同时还应当包含对所供设备提供安装等服务所产生的管理费、利润、规费、措施、税金、售后服务等履行本合同有关的其它一切费用。</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产品安装服务范围：产品由乙方负责安装、调试完成。</w:t>
      </w:r>
    </w:p>
    <w:p>
      <w:pPr>
        <w:widowControl/>
        <w:numPr>
          <w:ilvl w:val="0"/>
          <w:numId w:val="6"/>
        </w:numPr>
        <w:adjustRightInd w:val="0"/>
        <w:snapToGrid w:val="0"/>
        <w:spacing w:line="240" w:lineRule="auto"/>
        <w:ind w:left="0" w:firstLine="482" w:firstLineChars="200"/>
        <w:rPr>
          <w:rFonts w:hint="eastAsia" w:ascii="仿宋" w:hAnsi="仿宋" w:eastAsia="仿宋" w:cs="Times New Roman"/>
          <w:b/>
          <w:bCs/>
          <w:color w:val="auto"/>
          <w:lang w:eastAsia="ja-JP"/>
        </w:rPr>
      </w:pPr>
      <w:r>
        <w:rPr>
          <w:rFonts w:hint="eastAsia" w:ascii="仿宋" w:hAnsi="仿宋" w:eastAsia="仿宋" w:cs="Times New Roman"/>
          <w:b/>
          <w:bCs/>
          <w:color w:val="auto"/>
          <w:lang w:eastAsia="ja-JP"/>
        </w:rPr>
        <w:t>交货</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交货时间：</w:t>
      </w:r>
      <w:r>
        <w:rPr>
          <w:rFonts w:hint="eastAsia" w:ascii="仿宋" w:hAnsi="仿宋" w:eastAsia="仿宋" w:cs="Times New Roman"/>
          <w:color w:val="auto"/>
          <w:kern w:val="0"/>
          <w:lang w:eastAsia="ja-JP"/>
        </w:rPr>
        <w:t>乙方须在</w:t>
      </w:r>
      <w:r>
        <w:rPr>
          <w:rFonts w:hint="eastAsia" w:ascii="仿宋" w:hAnsi="仿宋" w:eastAsia="仿宋" w:cs="Times New Roman"/>
          <w:color w:val="auto"/>
          <w:lang w:eastAsia="ja-JP"/>
        </w:rPr>
        <w:t>合同签订</w:t>
      </w:r>
      <w:r>
        <w:rPr>
          <w:rFonts w:hint="eastAsia" w:ascii="仿宋" w:hAnsi="仿宋" w:eastAsia="仿宋" w:cs="Times New Roman"/>
          <w:color w:val="auto"/>
          <w:kern w:val="0"/>
          <w:lang w:eastAsia="ja-JP"/>
        </w:rPr>
        <w:t>后10</w:t>
      </w:r>
      <w:r>
        <w:rPr>
          <w:rFonts w:hint="eastAsia" w:ascii="仿宋" w:hAnsi="仿宋" w:eastAsia="仿宋" w:cs="Times New Roman"/>
          <w:color w:val="auto"/>
          <w:kern w:val="0"/>
          <w:lang w:val="en-US" w:eastAsia="ja-JP"/>
        </w:rPr>
        <w:t>个工作日内完成</w:t>
      </w:r>
      <w:r>
        <w:rPr>
          <w:rFonts w:hint="eastAsia" w:ascii="仿宋" w:hAnsi="仿宋" w:eastAsia="仿宋" w:cs="Times New Roman"/>
          <w:color w:val="auto"/>
          <w:sz w:val="24"/>
          <w:lang w:val="en-US" w:eastAsia="zh-CN"/>
        </w:rPr>
        <w:t>生活污水微动力处理设备</w:t>
      </w:r>
      <w:r>
        <w:rPr>
          <w:rFonts w:hint="eastAsia" w:ascii="仿宋" w:hAnsi="仿宋" w:eastAsia="仿宋" w:cs="Times New Roman"/>
          <w:color w:val="auto"/>
          <w:sz w:val="24"/>
          <w:lang w:val="en-US" w:eastAsia="ja-JP"/>
        </w:rPr>
        <w:t>供货、安装、调试工作</w:t>
      </w:r>
      <w:r>
        <w:rPr>
          <w:rFonts w:hint="eastAsia" w:ascii="仿宋" w:hAnsi="仿宋" w:eastAsia="仿宋" w:cs="Times New Roman"/>
          <w:color w:val="auto"/>
          <w:kern w:val="0"/>
          <w:lang w:eastAsia="ja-JP"/>
        </w:rPr>
        <w:t>。</w:t>
      </w:r>
    </w:p>
    <w:p>
      <w:pPr>
        <w:widowControl/>
        <w:numPr>
          <w:ilvl w:val="3"/>
          <w:numId w:val="6"/>
        </w:numPr>
        <w:adjustRightInd w:val="0"/>
        <w:snapToGrid w:val="0"/>
        <w:spacing w:line="240" w:lineRule="auto"/>
        <w:ind w:left="0" w:firstLine="480" w:firstLineChars="200"/>
        <w:rPr>
          <w:rFonts w:hint="eastAsia" w:ascii="仿宋" w:hAnsi="仿宋" w:eastAsia="仿宋" w:cs="Times New Roman"/>
          <w:color w:val="auto"/>
          <w:u w:val="none"/>
          <w:lang w:eastAsia="ja-JP"/>
        </w:rPr>
      </w:pPr>
      <w:r>
        <w:rPr>
          <w:rFonts w:hint="eastAsia" w:ascii="仿宋" w:hAnsi="仿宋" w:eastAsia="仿宋" w:cs="Times New Roman"/>
          <w:color w:val="auto"/>
          <w:lang w:eastAsia="ja-JP"/>
        </w:rPr>
        <w:t>交货地点：</w:t>
      </w:r>
      <w:r>
        <w:rPr>
          <w:rFonts w:hint="eastAsia" w:ascii="仿宋" w:hAnsi="仿宋" w:eastAsia="仿宋" w:cs="Times New Roman"/>
          <w:color w:val="auto"/>
          <w:u w:val="none"/>
          <w:lang w:eastAsia="ja-JP"/>
        </w:rPr>
        <w:t xml:space="preserve">甲方指定地点 </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乙方交货时应向甲方提交产品质量保证书、产品合格证、质量检验报告、产品性能有关技术参数。</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乙方应向甲方提供及其发出货物的出库凭证。</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货交甲方并经验收确认前的全部风险和相关费用由乙方承担。</w:t>
      </w:r>
    </w:p>
    <w:p>
      <w:pPr>
        <w:widowControl/>
        <w:numPr>
          <w:ilvl w:val="0"/>
          <w:numId w:val="6"/>
        </w:numPr>
        <w:adjustRightInd w:val="0"/>
        <w:snapToGrid w:val="0"/>
        <w:spacing w:line="240" w:lineRule="auto"/>
        <w:ind w:firstLine="482" w:firstLineChars="200"/>
        <w:rPr>
          <w:rFonts w:hint="eastAsia" w:ascii="仿宋" w:hAnsi="仿宋" w:eastAsia="仿宋" w:cs="Times New Roman"/>
          <w:b/>
          <w:bCs/>
          <w:color w:val="auto"/>
          <w:lang w:val="en-US" w:eastAsia="ja-JP"/>
        </w:rPr>
      </w:pPr>
      <w:r>
        <w:rPr>
          <w:rFonts w:hint="eastAsia" w:ascii="仿宋" w:hAnsi="仿宋" w:eastAsia="仿宋" w:cs="Times New Roman"/>
          <w:b/>
          <w:bCs/>
          <w:color w:val="auto"/>
          <w:lang w:eastAsia="ja-JP"/>
        </w:rPr>
        <w:t>安装、</w:t>
      </w:r>
      <w:r>
        <w:rPr>
          <w:rFonts w:hint="eastAsia" w:ascii="仿宋" w:hAnsi="仿宋" w:eastAsia="仿宋" w:cs="Times New Roman"/>
          <w:b/>
          <w:bCs/>
          <w:color w:val="auto"/>
          <w:lang w:val="en-US" w:eastAsia="ja-JP"/>
        </w:rPr>
        <w:t>调试</w:t>
      </w:r>
    </w:p>
    <w:p>
      <w:pPr>
        <w:widowControl/>
        <w:numPr>
          <w:ilvl w:val="3"/>
          <w:numId w:val="6"/>
        </w:numPr>
        <w:adjustRightInd w:val="0"/>
        <w:snapToGrid w:val="0"/>
        <w:spacing w:before="0" w:line="240" w:lineRule="auto"/>
        <w:ind w:firstLine="480" w:firstLineChars="200"/>
        <w:jc w:val="left"/>
        <w:rPr>
          <w:rFonts w:hint="eastAsia" w:ascii="仿宋" w:hAnsi="仿宋" w:eastAsia="仿宋" w:cs="Times New Roman"/>
          <w:color w:val="auto"/>
          <w:lang w:eastAsia="ja-JP"/>
        </w:rPr>
      </w:pPr>
      <w:r>
        <w:rPr>
          <w:rFonts w:hint="eastAsia" w:ascii="仿宋" w:hAnsi="仿宋" w:eastAsia="仿宋" w:cs="Times New Roman"/>
          <w:color w:val="auto"/>
          <w:sz w:val="24"/>
          <w:lang w:val="en-US" w:eastAsia="zh-CN"/>
        </w:rPr>
        <w:t>生活污水微动力处理设备</w:t>
      </w:r>
      <w:r>
        <w:rPr>
          <w:rFonts w:hint="eastAsia" w:ascii="仿宋" w:hAnsi="仿宋" w:eastAsia="仿宋" w:cs="Times New Roman"/>
          <w:color w:val="auto"/>
          <w:lang w:eastAsia="ja-JP"/>
        </w:rPr>
        <w:t>安装时乙方应派人员到现场负责安装、调试至正常工作，并对甲方技术人员进行现场培训指导直至能独立操作、排除简单故障。</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安装调试费用已包含于货款中，甲方无需再另行支付其他任何费用。</w:t>
      </w:r>
    </w:p>
    <w:p>
      <w:pPr>
        <w:widowControl/>
        <w:numPr>
          <w:ilvl w:val="0"/>
          <w:numId w:val="6"/>
        </w:numPr>
        <w:adjustRightInd w:val="0"/>
        <w:snapToGrid w:val="0"/>
        <w:spacing w:line="240" w:lineRule="auto"/>
        <w:ind w:firstLine="482" w:firstLineChars="200"/>
        <w:rPr>
          <w:rFonts w:hint="eastAsia" w:ascii="仿宋" w:hAnsi="仿宋" w:eastAsia="仿宋" w:cs="Times New Roman"/>
          <w:b/>
          <w:bCs/>
          <w:color w:val="auto"/>
          <w:lang w:eastAsia="ja-JP"/>
        </w:rPr>
      </w:pPr>
      <w:r>
        <w:rPr>
          <w:rFonts w:hint="eastAsia" w:ascii="仿宋" w:hAnsi="仿宋" w:eastAsia="仿宋" w:cs="Times New Roman"/>
          <w:b/>
          <w:bCs/>
          <w:color w:val="auto"/>
          <w:lang w:eastAsia="ja-JP"/>
        </w:rPr>
        <w:t>运输及包装</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乙方应负责将产品设备运到目的地，提供的设备应具有完善的外包装，适合海运、吊装，能防止撞击、潮气。</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运输期间，产品设备和部件应包装完好以免损坏或泄漏。包装箱外面应标明净重、内容，装箱及卸载的正常步骤。应该使送至现场、检查损坏程度、卸载和存放的工作尽可能地简单。乙方应迅速更换被损坏和有缺陷的部件。</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乙方应该负责所有设备的卸货。乙方应该在主要设备到货之前向甲方代表提交完整的卸货步骤及保护措施以供批准。甲方代表的批准并不能免除乙方按照合同规定应负的责任。</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乙方应该让甲方代表满意地看到所有运至现场的设备和部件妥善放置、安装。运输、卸货和安装的过程中应保证设备有防雨、防潮等保护措施。</w:t>
      </w:r>
    </w:p>
    <w:p>
      <w:pPr>
        <w:widowControl/>
        <w:numPr>
          <w:ilvl w:val="0"/>
          <w:numId w:val="6"/>
        </w:numPr>
        <w:adjustRightInd w:val="0"/>
        <w:snapToGrid w:val="0"/>
        <w:spacing w:line="240" w:lineRule="auto"/>
        <w:ind w:firstLine="482" w:firstLineChars="200"/>
        <w:rPr>
          <w:rFonts w:hint="eastAsia" w:ascii="仿宋" w:hAnsi="仿宋" w:eastAsia="仿宋" w:cs="Times New Roman"/>
          <w:b/>
          <w:bCs/>
          <w:color w:val="auto"/>
          <w:lang w:eastAsia="ja-JP"/>
        </w:rPr>
      </w:pPr>
      <w:r>
        <w:rPr>
          <w:rFonts w:hint="eastAsia" w:ascii="仿宋" w:hAnsi="仿宋" w:eastAsia="仿宋" w:cs="Times New Roman"/>
          <w:b/>
          <w:bCs/>
          <w:color w:val="auto"/>
          <w:lang w:eastAsia="ja-JP"/>
        </w:rPr>
        <w:t>货物验收标准</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产品技术和质量符合询价文件、国家、行业规定的标准。产品验收标准按双方在合同中确认的标准及乙方的承诺进行，其他按国家最新的有关产品质量和材质规定标准验收。</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若产品质量、性能达不到甲方要求及乙方承诺，甲方有权中止合同。</w:t>
      </w:r>
    </w:p>
    <w:p>
      <w:pPr>
        <w:widowControl/>
        <w:numPr>
          <w:ilvl w:val="0"/>
          <w:numId w:val="6"/>
        </w:numPr>
        <w:adjustRightInd w:val="0"/>
        <w:snapToGrid w:val="0"/>
        <w:spacing w:line="240" w:lineRule="auto"/>
        <w:ind w:firstLine="482" w:firstLineChars="200"/>
        <w:rPr>
          <w:rFonts w:hint="eastAsia" w:ascii="仿宋" w:hAnsi="仿宋" w:eastAsia="仿宋" w:cs="Times New Roman"/>
          <w:b/>
          <w:bCs/>
          <w:color w:val="auto"/>
          <w:lang w:eastAsia="ja-JP"/>
        </w:rPr>
      </w:pPr>
      <w:r>
        <w:rPr>
          <w:rFonts w:hint="eastAsia" w:ascii="仿宋" w:hAnsi="仿宋" w:eastAsia="仿宋" w:cs="Times New Roman"/>
          <w:b/>
          <w:bCs/>
          <w:color w:val="auto"/>
          <w:lang w:eastAsia="ja-JP"/>
        </w:rPr>
        <w:t xml:space="preserve">质量条件及保修期 </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货物验收合格后质量保证期</w:t>
      </w:r>
      <w:r>
        <w:rPr>
          <w:rFonts w:hint="eastAsia" w:ascii="仿宋" w:hAnsi="仿宋" w:eastAsia="仿宋" w:cs="Times New Roman"/>
          <w:color w:val="auto"/>
          <w:u w:val="none"/>
          <w:lang w:val="en-US" w:eastAsia="zh-CN"/>
        </w:rPr>
        <w:t xml:space="preserve"> </w:t>
      </w:r>
      <w:r>
        <w:rPr>
          <w:rFonts w:hint="eastAsia" w:ascii="仿宋" w:hAnsi="仿宋" w:eastAsia="仿宋" w:cs="Times New Roman"/>
          <w:color w:val="0000FF"/>
          <w:u w:val="none"/>
          <w:lang w:val="en-US" w:eastAsia="zh-CN"/>
        </w:rPr>
        <w:t>1</w:t>
      </w:r>
      <w:r>
        <w:rPr>
          <w:rFonts w:hint="eastAsia" w:ascii="仿宋" w:hAnsi="仿宋" w:eastAsia="仿宋" w:cs="Times New Roman"/>
          <w:color w:val="auto"/>
          <w:lang w:eastAsia="ja-JP"/>
        </w:rPr>
        <w:t>年免费保修（乙方承诺优于此的以乙方承诺为准），保修期自</w:t>
      </w:r>
      <w:r>
        <w:rPr>
          <w:rFonts w:hint="eastAsia" w:ascii="仿宋" w:hAnsi="仿宋" w:eastAsia="仿宋" w:cs="Times New Roman"/>
          <w:color w:val="auto"/>
          <w:lang w:val="en-US" w:eastAsia="zh-CN"/>
        </w:rPr>
        <w:t>生活污水微动力处理设备</w:t>
      </w:r>
      <w:r>
        <w:rPr>
          <w:rFonts w:hint="eastAsia" w:ascii="仿宋" w:hAnsi="仿宋" w:eastAsia="仿宋" w:cs="Times New Roman"/>
          <w:color w:val="auto"/>
          <w:lang w:eastAsia="ja-JP"/>
        </w:rPr>
        <w:t>安装验收合格次日起计算质保期，质保期内出现产品质量问题由乙方负责免费更换。</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在质保期内，乙方须负责货物的质保责任，因产品质量问题、通讯、软件造成的故障由乙方负责免费更换，产生的所有费用由乙方负责；若乙方对质量问题存在异议，也应当先向甲方履行质保服务义务，经双方认可的检定机构检验认定后，若认定货物不存在质量问题，则甲方应当向乙方支付成本费。</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在质保期内设备运行发生故障时，乙方在接到甲方故障通知后应委派专业技术人员在2小时内响应，12小时内到达维修现场，并及时填写维修报告（包括故障原因、处理情况及甲方意见等）报甲方备案，若48小时内无法排除故障，则应先提供同档次备用产品供甲方使用，发生一切费用由乙方承担；若乙方在接到甲方故障通知后逾期不至，甲方有权另请他人维修，费用由乙方承担，可直接从质保金中扣除。</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若货物在1年内出现3次及以上产品质量问题的，甲方有权要求乙方支付合同总金额5%的违约金且乙方需无条件的更换质量问题的产品，所产生的费用和责任由乙方承担。</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乙方维修所更换的零部件必须是原厂的产品。</w:t>
      </w:r>
    </w:p>
    <w:p>
      <w:pPr>
        <w:widowControl/>
        <w:numPr>
          <w:ilvl w:val="3"/>
          <w:numId w:val="6"/>
        </w:numPr>
        <w:adjustRightInd w:val="0"/>
        <w:spacing w:line="240" w:lineRule="auto"/>
        <w:ind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质保期结束后，乙方仍应负责对设备提供终身维修服务，但只能收取配件成本费，免收人工服务费，乙方必须提供设备在质量保证期过后零部件价格清单作为合同的附件。</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sz w:val="24"/>
          <w:lang w:eastAsia="ja-JP"/>
        </w:rPr>
      </w:pPr>
      <w:r>
        <w:rPr>
          <w:rFonts w:hint="eastAsia" w:ascii="仿宋" w:hAnsi="仿宋" w:eastAsia="仿宋" w:cs="Times New Roman"/>
          <w:b/>
          <w:bCs/>
          <w:color w:val="auto"/>
          <w:kern w:val="0"/>
          <w:lang w:eastAsia="ja-JP"/>
        </w:rPr>
        <w:t>货物验收方式</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kern w:val="0"/>
          <w:lang w:eastAsia="ja-JP"/>
        </w:rPr>
        <w:t>交货后20天内，由乙方根据甲方要求完成安装、</w:t>
      </w:r>
      <w:r>
        <w:rPr>
          <w:rFonts w:hint="eastAsia" w:ascii="仿宋" w:hAnsi="仿宋" w:eastAsia="仿宋" w:cs="Times New Roman"/>
          <w:color w:val="auto"/>
          <w:kern w:val="0"/>
          <w:lang w:val="en-US" w:eastAsia="ja-JP"/>
        </w:rPr>
        <w:t>调试</w:t>
      </w:r>
      <w:r>
        <w:rPr>
          <w:rFonts w:hint="eastAsia" w:ascii="仿宋" w:hAnsi="仿宋" w:eastAsia="仿宋" w:cs="Times New Roman"/>
          <w:color w:val="auto"/>
          <w:lang w:eastAsia="ja-JP"/>
        </w:rPr>
        <w:t>后向甲方申请验收。甲方</w:t>
      </w:r>
      <w:r>
        <w:rPr>
          <w:rFonts w:hint="eastAsia" w:ascii="仿宋" w:hAnsi="仿宋" w:eastAsia="仿宋" w:cs="Times New Roman"/>
          <w:color w:val="auto"/>
          <w:kern w:val="0"/>
          <w:lang w:eastAsia="ja-JP"/>
        </w:rPr>
        <w:t>验收标准按双方在合同中确认的标准及询价文件要求、报价文件及乙方的承诺进行验收，</w:t>
      </w:r>
      <w:r>
        <w:rPr>
          <w:rFonts w:hint="eastAsia" w:ascii="仿宋" w:hAnsi="仿宋" w:eastAsia="仿宋" w:cs="Times New Roman"/>
          <w:color w:val="auto"/>
          <w:lang w:eastAsia="ja-JP"/>
        </w:rPr>
        <w:t>验收合格甲方代表签字确认。</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 xml:space="preserve">合同价款支付方式 </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乙方根据甲方要求完成安装调试经甲方验收合格后，乙方开具本批次所供货物的含税合规的增值税专用发票（包含税务机关代开），甲方在收到发票后30个工作日内按该批次货物金额支付95%货款，余款5%作为质保金，待质保期满后乙方书面申请后无息支付。</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lang w:eastAsia="ja-JP"/>
        </w:rPr>
        <w:t>质保期满后3年内乙方仍未向甲方申请退还质保金的，已付款视为结算款，即乙方自愿放弃质保金。甲方每次付款前乙方应提供同等金额的增值税专用发票，否则甲方有权延迟付款并不承担违约责任。</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违约责任</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未得到甲方许可，乙方擅自将本合同货物或服务分包、转包给其他单位的，乙方应当向甲方支付合同总金额10%的金额作为违约金，如不足以弥补甲方损失的还应赔偿甲方损失。同时甲方有权单方解除合同。</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甲方未按合同规定的时间和要求承付货款，乙方有权追究甲方违约责任。</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甲方无正当理由不接收或不及时验收的，乙方有权按国家有关采购法规追究甲方违约责任。</w:t>
      </w:r>
    </w:p>
    <w:p>
      <w:pPr>
        <w:widowControl/>
        <w:numPr>
          <w:ilvl w:val="3"/>
          <w:numId w:val="6"/>
        </w:numPr>
        <w:adjustRightInd w:val="0"/>
        <w:snapToGrid w:val="0"/>
        <w:spacing w:line="240" w:lineRule="auto"/>
        <w:ind w:firstLine="480" w:firstLineChars="200"/>
        <w:rPr>
          <w:rFonts w:hint="eastAsia" w:ascii="仿宋" w:hAnsi="仿宋" w:eastAsia="仿宋" w:cs="Times New Roman"/>
          <w:bCs w:val="0"/>
          <w:color w:val="auto"/>
          <w:lang w:eastAsia="ja-JP"/>
        </w:rPr>
      </w:pPr>
      <w:r>
        <w:rPr>
          <w:rFonts w:hint="eastAsia" w:ascii="仿宋" w:hAnsi="仿宋" w:eastAsia="仿宋" w:cs="Times New Roman"/>
          <w:bCs w:val="0"/>
          <w:color w:val="auto"/>
          <w:lang w:eastAsia="ja-JP"/>
        </w:rPr>
        <w:t>乙方延迟交付货物，每延迟一日按合同总金额的2‰向甲方支付违约金。非因甲方原因和不可抗力原因乙方迟延交付货物，甲方有权解除合同并要求乙方支付合同总金额20%的违约金。</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产品确认存在质量问题的，甲方有权选择全部换货或解除合同。</w:t>
      </w:r>
    </w:p>
    <w:p>
      <w:pPr>
        <w:widowControl/>
        <w:numPr>
          <w:ilvl w:val="4"/>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选择全部换货的，乙方应当全部给予更换，并支付合同总金额5%的违约金。由此造成迟延交付的，按照本合同规定继续承担违约责任。更换的产品还不能检验合格的，甲方有权解除合同，乙方应支付合同总金额30%的违约金，并承担检验测试费、运输费、人工费等由此产生的一切费用以及给甲方造成的全部经济损失。</w:t>
      </w:r>
    </w:p>
    <w:p>
      <w:pPr>
        <w:widowControl/>
        <w:numPr>
          <w:ilvl w:val="4"/>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甲方选择解除合同的，乙方应支付合同总金额30%的违约金，并承担检验测试费、运输费、人工费等由此产生的一切费用以及给需方造成的全部经济损失。</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在质保期内未及时履行保质三包责任的、甲方有权自行委托他人进行免费更换等服务，根据需要更换产品的数量，费用从质保金中扣除并按每件产品金额的两倍扣除违约金。同时，质保期内发生质量问题的货物，其质保期从货物更换之日起重新计算。</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乙方单方解除合同的违约责任</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签订本合同之后，乙方在合同履行期间无正当理由单方解除合同的，或明确表示不履约或以其行为表明不再履行合同的，视为乙方严重违约，同时乙方应按本合同总价的30%向甲方支付违约金，并赔偿因此给甲方造成的损失。</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因乙方原因发生重大质量事故、重大或特大安全事故、死亡事故的，造成的经济损失、财产人员损伤及行政责任、刑事责任、民事责任由乙方根据有关法律法规规章规定全权承担，甲方报建设行政主管部门处理。同时，甲方有权单方终止合同，并要求乙方按本合同总价款的30%向甲方支付违约金，给甲方造成损失的，乙方应赔偿甲方实际损失。</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上述违约金、赔偿金等费用甲方有权从未付货款、质保金中直接扣除。</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乙方提供的货物不符合甲方要求的，甲方有权根据乙方违约程度单方解除本合同，所供货物给予退还，并要求乙方承担合同中标价10%的违约金。</w:t>
      </w:r>
    </w:p>
    <w:p>
      <w:pPr>
        <w:widowControl/>
        <w:numPr>
          <w:ilvl w:val="3"/>
          <w:numId w:val="6"/>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其它违约情况按《中华人民共和国民法典》有关条款规定处理。</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通知送达</w:t>
      </w:r>
    </w:p>
    <w:p>
      <w:pPr>
        <w:widowControl/>
        <w:numPr>
          <w:ilvl w:val="0"/>
          <w:numId w:val="7"/>
        </w:numPr>
        <w:adjustRightInd w:val="0"/>
        <w:snapToGrid w:val="0"/>
        <w:spacing w:line="240" w:lineRule="auto"/>
        <w:ind w:left="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合同各方就履行合同及发行纠纷时，涉及各类通知、协议等文件以及法院、仲裁等司法机关各阶段审理或强制执行涉及的法律文书的送达地址如下：</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 xml:space="preserve">（1）发给甲方的通知地址： </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收件人：林女士</w:t>
      </w:r>
    </w:p>
    <w:p>
      <w:pPr>
        <w:widowControl/>
        <w:numPr>
          <w:ilvl w:val="-1"/>
          <w:numId w:val="0"/>
        </w:numPr>
        <w:adjustRightInd w:val="0"/>
        <w:snapToGrid w:val="0"/>
        <w:spacing w:line="240" w:lineRule="auto"/>
        <w:ind w:left="0" w:leftChars="0" w:firstLine="480" w:firstLineChars="200"/>
        <w:rPr>
          <w:rFonts w:hint="eastAsia" w:ascii="仿宋" w:hAnsi="仿宋" w:eastAsia="仿宋" w:cs="Times New Roman"/>
          <w:color w:val="auto"/>
          <w:spacing w:val="0"/>
          <w:sz w:val="24"/>
          <w:lang w:eastAsia="ja-JP"/>
        </w:rPr>
      </w:pPr>
      <w:r>
        <w:rPr>
          <w:rFonts w:hint="eastAsia" w:ascii="仿宋" w:hAnsi="仿宋" w:eastAsia="仿宋" w:cs="Times New Roman"/>
          <w:color w:val="auto"/>
          <w:sz w:val="24"/>
          <w:lang w:eastAsia="ja-JP"/>
        </w:rPr>
        <w:t>收件地址：</w:t>
      </w:r>
      <w:r>
        <w:rPr>
          <w:rFonts w:hint="eastAsia" w:ascii="仿宋" w:hAnsi="仿宋" w:eastAsia="仿宋" w:cs="Times New Roman"/>
          <w:color w:val="auto"/>
          <w:spacing w:val="0"/>
          <w:sz w:val="24"/>
          <w:lang w:eastAsia="ja-JP"/>
        </w:rPr>
        <w:t>福州市长乐区文武砂镇漳江路公交首末站4层</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联系电话：87529791</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邮编：350000</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（2）发给乙方的通知地址：</w:t>
      </w:r>
    </w:p>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480" w:leftChars="200" w:firstLine="0" w:firstLineChars="0"/>
        <w:textAlignment w:val="auto"/>
        <w:rPr>
          <w:rFonts w:hint="eastAsia" w:ascii="仿宋" w:hAnsi="仿宋" w:eastAsia="仿宋" w:cs="Times New Roman"/>
          <w:color w:val="auto"/>
          <w:sz w:val="24"/>
          <w:szCs w:val="24"/>
          <w:lang w:eastAsia="ja-JP"/>
        </w:rPr>
      </w:pPr>
      <w:r>
        <w:rPr>
          <w:rFonts w:hint="eastAsia" w:ascii="仿宋" w:hAnsi="仿宋" w:eastAsia="仿宋" w:cs="Times New Roman"/>
          <w:color w:val="auto"/>
          <w:sz w:val="24"/>
          <w:szCs w:val="24"/>
          <w:lang w:eastAsia="ja-JP"/>
        </w:rPr>
        <w:t>收件人：</w:t>
      </w:r>
      <w:r>
        <w:rPr>
          <w:rFonts w:hint="eastAsia" w:ascii="仿宋" w:hAnsi="仿宋" w:eastAsia="仿宋" w:cs="Times New Roman"/>
          <w:color w:val="auto"/>
          <w:sz w:val="24"/>
          <w:szCs w:val="24"/>
          <w:lang w:eastAsia="ja-JP"/>
        </w:rPr>
        <w:br w:type="textWrapping"/>
      </w:r>
      <w:r>
        <w:rPr>
          <w:rFonts w:hint="eastAsia" w:ascii="仿宋" w:hAnsi="仿宋" w:eastAsia="仿宋" w:cs="Times New Roman"/>
          <w:color w:val="auto"/>
          <w:sz w:val="24"/>
          <w:szCs w:val="24"/>
          <w:lang w:eastAsia="ja-JP"/>
        </w:rPr>
        <w:t>收件地址：</w:t>
      </w:r>
      <w:r>
        <w:rPr>
          <w:rFonts w:hint="eastAsia" w:ascii="仿宋" w:hAnsi="仿宋" w:eastAsia="仿宋" w:cs="Times New Roman"/>
          <w:color w:val="auto"/>
          <w:sz w:val="24"/>
          <w:szCs w:val="24"/>
          <w:u w:val="none"/>
          <w:lang w:eastAsia="ja-JP"/>
        </w:rPr>
        <w:br w:type="textWrapping"/>
      </w:r>
      <w:r>
        <w:rPr>
          <w:rFonts w:hint="eastAsia" w:ascii="仿宋" w:hAnsi="仿宋" w:eastAsia="仿宋" w:cs="Times New Roman"/>
          <w:color w:val="auto"/>
          <w:sz w:val="24"/>
          <w:szCs w:val="24"/>
          <w:lang w:eastAsia="ja-JP"/>
        </w:rPr>
        <w:t>联系电话：</w:t>
      </w:r>
      <w:r>
        <w:rPr>
          <w:rFonts w:hint="eastAsia" w:ascii="仿宋" w:hAnsi="仿宋" w:eastAsia="仿宋" w:cs="Times New Roman"/>
          <w:color w:val="auto"/>
          <w:sz w:val="24"/>
          <w:szCs w:val="24"/>
          <w:u w:val="none"/>
          <w:lang w:eastAsia="ja-JP"/>
        </w:rPr>
        <w:br w:type="textWrapping"/>
      </w:r>
      <w:r>
        <w:rPr>
          <w:rFonts w:hint="eastAsia" w:ascii="仿宋" w:hAnsi="仿宋" w:eastAsia="仿宋" w:cs="Times New Roman"/>
          <w:color w:val="auto"/>
          <w:sz w:val="24"/>
          <w:szCs w:val="24"/>
          <w:lang w:eastAsia="ja-JP"/>
        </w:rPr>
        <w:t>邮编：</w:t>
      </w:r>
    </w:p>
    <w:p>
      <w:pPr>
        <w:widowControl/>
        <w:numPr>
          <w:ilvl w:val="0"/>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合同任意一方如需变更上述送达地址及联络方式的应当提前以书面方式通知对方。</w:t>
      </w:r>
    </w:p>
    <w:p>
      <w:pPr>
        <w:widowControl/>
        <w:numPr>
          <w:ilvl w:val="0"/>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合同一方当事人或法院、仲裁等机关，发送的各类文件、文书，均可按上述送达地址，直接邮寄。</w:t>
      </w:r>
    </w:p>
    <w:p>
      <w:pPr>
        <w:widowControl/>
        <w:numPr>
          <w:ilvl w:val="0"/>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0"/>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如果甲方提出索赔通知后15天内乙方未能予以答复，该索赔应视为已被乙方接受。甲方将根据索赔通知进行扣款或索赔。</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合同争议解决方式</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若因执行本合同所发生的争议、由双方通过友好协商解决。如果不能协商一致，任何一方有权将争议提交福州仲裁委员会仲裁。</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sz w:val="24"/>
          <w:szCs w:val="24"/>
          <w:u w:val="none"/>
          <w:lang w:eastAsia="ja-JP"/>
        </w:rPr>
      </w:pPr>
      <w:r>
        <w:rPr>
          <w:rFonts w:hint="eastAsia" w:ascii="仿宋" w:hAnsi="仿宋" w:eastAsia="仿宋" w:cs="Times New Roman"/>
          <w:b/>
          <w:bCs/>
          <w:color w:val="auto"/>
          <w:kern w:val="0"/>
          <w:sz w:val="24"/>
          <w:szCs w:val="24"/>
          <w:u w:val="none"/>
          <w:lang w:eastAsia="ja-JP"/>
        </w:rPr>
        <w:t>保密条款</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szCs w:val="24"/>
          <w:lang w:val="en-US" w:eastAsia="ja-JP"/>
        </w:rPr>
      </w:pPr>
      <w:r>
        <w:rPr>
          <w:rFonts w:hint="eastAsia" w:ascii="仿宋" w:hAnsi="仿宋" w:eastAsia="仿宋" w:cs="Times New Roman"/>
          <w:color w:val="auto"/>
          <w:sz w:val="24"/>
          <w:szCs w:val="24"/>
          <w:lang w:eastAsia="ja-JP"/>
        </w:rPr>
        <w:t>甲乙双方未经</w:t>
      </w:r>
      <w:r>
        <w:rPr>
          <w:rFonts w:hint="eastAsia" w:ascii="仿宋" w:hAnsi="仿宋" w:eastAsia="仿宋" w:cs="Times New Roman"/>
          <w:color w:val="auto"/>
          <w:sz w:val="24"/>
          <w:szCs w:val="24"/>
          <w:lang w:eastAsia="ja-JP"/>
        </w:rPr>
        <w:fldChar w:fldCharType="begin"/>
      </w:r>
      <w:r>
        <w:rPr>
          <w:rFonts w:hint="eastAsia" w:ascii="仿宋" w:hAnsi="仿宋" w:eastAsia="仿宋" w:cs="Times New Roman"/>
          <w:color w:val="auto"/>
          <w:sz w:val="24"/>
          <w:szCs w:val="24"/>
          <w:lang w:eastAsia="ja-JP"/>
        </w:rPr>
        <w:instrText xml:space="preserve">HYPERLINK "https://www.baidu.com/s?wd=%E4%BF%A1%E6%81%AF%E6%8A%AB%E9%9C%B2&amp;tn=44039180_cpr&amp;fenlei=mv6quAkxTZn0IZRqIHckPjm4nH00T1YvmWR1Py7bmWTvnycLmHmv0ZwV5Hcvrjm3rH6sPfKWUMw85HfYnjn4nH6sgvPsT6KdThsqpZwYTjCEQLGCpyw9Uz4Bmy-bIi4WUvYETgN-TLwGUv3EnWfYnW0srjbvnH61nHn3nj0Y" \t "_blank"</w:instrText>
      </w:r>
      <w:r>
        <w:rPr>
          <w:rFonts w:hint="eastAsia" w:ascii="仿宋" w:hAnsi="仿宋" w:eastAsia="仿宋" w:cs="Times New Roman"/>
          <w:color w:val="auto"/>
          <w:sz w:val="24"/>
          <w:szCs w:val="24"/>
          <w:lang w:eastAsia="ja-JP"/>
        </w:rPr>
        <w:fldChar w:fldCharType="separate"/>
      </w:r>
      <w:r>
        <w:rPr>
          <w:rFonts w:hint="eastAsia" w:ascii="仿宋" w:hAnsi="仿宋" w:eastAsia="仿宋" w:cs="Times New Roman"/>
          <w:color w:val="auto"/>
          <w:sz w:val="24"/>
          <w:szCs w:val="24"/>
          <w:lang w:eastAsia="ja-JP"/>
        </w:rPr>
        <w:t>信息披露</w:t>
      </w:r>
      <w:r>
        <w:rPr>
          <w:rFonts w:hint="eastAsia" w:ascii="仿宋" w:hAnsi="仿宋" w:eastAsia="仿宋" w:cs="Times New Roman"/>
          <w:color w:val="auto"/>
          <w:sz w:val="24"/>
          <w:szCs w:val="24"/>
          <w:lang w:eastAsia="ja-JP"/>
        </w:rPr>
        <w:fldChar w:fldCharType="end"/>
      </w:r>
      <w:r>
        <w:rPr>
          <w:rFonts w:hint="eastAsia" w:ascii="仿宋" w:hAnsi="仿宋" w:eastAsia="仿宋" w:cs="Times New Roman"/>
          <w:color w:val="auto"/>
          <w:sz w:val="24"/>
          <w:szCs w:val="24"/>
          <w:lang w:eastAsia="ja-JP"/>
        </w:rPr>
        <w:t>方书面事先同意或者应国家权力机关依法要求，不得向本协议以外的任何第三方披露。</w:t>
      </w:r>
      <w:r>
        <w:rPr>
          <w:rFonts w:hint="eastAsia" w:ascii="仿宋" w:hAnsi="仿宋" w:eastAsia="仿宋" w:cs="Times New Roman"/>
          <w:color w:val="auto"/>
          <w:sz w:val="24"/>
          <w:szCs w:val="24"/>
          <w:lang w:val="en-US" w:eastAsia="ja-JP"/>
        </w:rPr>
        <w:t>详见附件1：合作保密合同</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其它条款</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合同有效期限到期后，合同项下任何尚未了结的债权和债务不受合同到期的影响，债务人仍应向债权人履行义务。</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合同执行期间，任何补充协议，传真件应以书面方式进行，由双方授权代表签字，签章后与本合同同等法律效力。</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合同组成部分：询价函，报价文件为本合同组成部分</w:t>
      </w:r>
    </w:p>
    <w:p>
      <w:pPr>
        <w:widowControl/>
        <w:numPr>
          <w:ilvl w:val="0"/>
          <w:numId w:val="6"/>
        </w:numPr>
        <w:adjustRightInd w:val="0"/>
        <w:snapToGrid w:val="0"/>
        <w:spacing w:line="240" w:lineRule="auto"/>
        <w:ind w:left="0" w:leftChars="0" w:firstLine="482" w:firstLineChars="200"/>
        <w:rPr>
          <w:rFonts w:hint="eastAsia" w:ascii="仿宋" w:hAnsi="仿宋" w:eastAsia="仿宋" w:cs="Times New Roman"/>
          <w:b/>
          <w:bCs/>
          <w:color w:val="auto"/>
          <w:kern w:val="0"/>
          <w:lang w:eastAsia="ja-JP"/>
        </w:rPr>
      </w:pPr>
      <w:r>
        <w:rPr>
          <w:rFonts w:hint="eastAsia" w:ascii="仿宋" w:hAnsi="仿宋" w:eastAsia="仿宋" w:cs="Times New Roman"/>
          <w:b/>
          <w:bCs/>
          <w:color w:val="auto"/>
          <w:kern w:val="0"/>
          <w:lang w:eastAsia="ja-JP"/>
        </w:rPr>
        <w:t>合同份数</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本合同一式陆份，经双方签字盖章后即时生效。甲方执叁份，乙方执叁份，具有同等法律效力。</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本页仅为</w:t>
      </w:r>
      <w:r>
        <w:rPr>
          <w:rFonts w:hint="eastAsia" w:ascii="仿宋" w:hAnsi="仿宋" w:eastAsia="仿宋" w:cs="仿宋"/>
          <w:b w:val="0"/>
          <w:color w:val="auto"/>
          <w:sz w:val="24"/>
          <w:szCs w:val="24"/>
          <w:highlight w:val="none"/>
          <w:lang w:eastAsia="zh-CN"/>
        </w:rPr>
        <w:t>生活污水微动力处理设备</w:t>
      </w:r>
      <w:r>
        <w:rPr>
          <w:rFonts w:hint="eastAsia" w:ascii="仿宋" w:hAnsi="仿宋" w:eastAsia="仿宋" w:cs="仿宋"/>
          <w:b w:val="0"/>
          <w:color w:val="auto"/>
          <w:sz w:val="24"/>
          <w:szCs w:val="24"/>
          <w:highlight w:val="none"/>
          <w:lang w:val="en-US" w:eastAsia="zh-CN"/>
        </w:rPr>
        <w:t>合同签署页</w:t>
      </w:r>
      <w:r>
        <w:rPr>
          <w:rFonts w:hint="eastAsia" w:ascii="仿宋" w:hAnsi="仿宋" w:eastAsia="仿宋" w:cs="仿宋"/>
          <w:color w:val="auto"/>
          <w:sz w:val="24"/>
          <w:szCs w:val="24"/>
          <w:highlight w:val="none"/>
          <w:lang w:eastAsia="zh-CN"/>
        </w:rPr>
        <w:t>）</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甲方:福州市滨海水务发展有限公司</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单位税号：91350182MA32G4440Q</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单位电话：0591-87529791</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开户银行：中国邮政储蓄银行股份有限公司福州市长乐区支行</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帐号：935006010012250000</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日期：   年   月   日</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乙方：</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单位税号：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注册地址：</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单位电话：</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开户银行：</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帐号：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日期：   年   月   日</w:t>
      </w:r>
    </w:p>
    <w:p>
      <w:pPr>
        <w:widowControl/>
        <w:adjustRightInd/>
        <w:snapToGrid/>
        <w:spacing w:line="240" w:lineRule="auto"/>
        <w:ind w:firstLine="0" w:firstLineChars="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br w:type="page"/>
      </w:r>
    </w:p>
    <w:p>
      <w:pPr>
        <w:widowControl/>
        <w:wordWrap/>
        <w:spacing w:line="240" w:lineRule="auto"/>
        <w:ind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w:t>
      </w:r>
      <w:r>
        <w:rPr>
          <w:rFonts w:hint="eastAsia" w:ascii="仿宋" w:hAnsi="仿宋" w:eastAsia="仿宋" w:cs="仿宋"/>
          <w:color w:val="auto"/>
          <w:sz w:val="32"/>
          <w:szCs w:val="32"/>
          <w:lang w:val="en-US" w:eastAsia="zh-CN"/>
        </w:rPr>
        <w:t>合作保密协议</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甲方：福州市滨海水务发展有限公司</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乙方：</w:t>
      </w:r>
      <w:r>
        <w:rPr>
          <w:rFonts w:hint="eastAsia" w:asciiTheme="minorEastAsia" w:hAnsiTheme="minorEastAsia" w:eastAsiaTheme="minorEastAsia" w:cstheme="minorEastAsia"/>
          <w:color w:val="auto"/>
          <w:sz w:val="21"/>
          <w:szCs w:val="21"/>
          <w:u w:val="single"/>
          <w:lang w:val="en-US" w:eastAsia="zh-CN"/>
        </w:rPr>
        <w:t xml:space="preserve">                          </w:t>
      </w: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鉴于：</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甲乙双方</w:t>
      </w:r>
      <w:r>
        <w:rPr>
          <w:rFonts w:hint="eastAsia" w:asciiTheme="minorEastAsia" w:hAnsiTheme="minorEastAsia" w:eastAsiaTheme="minorEastAsia" w:cstheme="minorEastAsia"/>
          <w:color w:val="auto"/>
          <w:sz w:val="21"/>
          <w:szCs w:val="21"/>
          <w:lang w:val="en-US" w:eastAsia="zh-CN"/>
        </w:rPr>
        <w:t>就</w:t>
      </w:r>
      <w:r>
        <w:rPr>
          <w:rFonts w:hint="eastAsia" w:asciiTheme="minorEastAsia" w:hAnsiTheme="minorEastAsia" w:eastAsiaTheme="minorEastAsia" w:cstheme="minorEastAsia"/>
          <w:color w:val="auto"/>
          <w:sz w:val="21"/>
          <w:szCs w:val="21"/>
          <w:lang w:eastAsia="zh-CN"/>
        </w:rPr>
        <w:t>生活污水微动力处理设备</w:t>
      </w:r>
      <w:r>
        <w:rPr>
          <w:rFonts w:hint="eastAsia" w:asciiTheme="minorEastAsia" w:hAnsiTheme="minorEastAsia" w:eastAsiaTheme="minorEastAsia" w:cstheme="minorEastAsia"/>
          <w:color w:val="auto"/>
          <w:sz w:val="21"/>
          <w:szCs w:val="21"/>
          <w:lang w:val="en-US" w:eastAsia="zh-CN"/>
        </w:rPr>
        <w:t>采购事项，</w:t>
      </w:r>
      <w:r>
        <w:rPr>
          <w:rFonts w:hint="eastAsia" w:asciiTheme="minorEastAsia" w:hAnsiTheme="minorEastAsia" w:eastAsiaTheme="minorEastAsia" w:cstheme="minorEastAsia"/>
          <w:color w:val="auto"/>
          <w:sz w:val="21"/>
          <w:szCs w:val="21"/>
        </w:rPr>
        <w:t>在洽谈或合作履约期间，均因工作需要可能获得或掌握对方有价值的保密资料（</w:t>
      </w:r>
      <w:r>
        <w:rPr>
          <w:rFonts w:hint="eastAsia" w:asciiTheme="minorEastAsia" w:hAnsiTheme="minorEastAsia" w:eastAsiaTheme="minorEastAsia" w:cstheme="minorEastAsia"/>
          <w:color w:val="auto"/>
          <w:sz w:val="21"/>
          <w:szCs w:val="21"/>
          <w:lang w:val="en-US" w:eastAsia="zh-CN"/>
        </w:rPr>
        <w:t>包括但不限于</w:t>
      </w:r>
      <w:r>
        <w:rPr>
          <w:rFonts w:hint="eastAsia" w:asciiTheme="minorEastAsia" w:hAnsiTheme="minorEastAsia" w:eastAsiaTheme="minorEastAsia" w:cstheme="minorEastAsia"/>
          <w:color w:val="auto"/>
          <w:sz w:val="21"/>
          <w:szCs w:val="21"/>
        </w:rPr>
        <w:t>口头、书面或者其他任何形式表现的</w:t>
      </w:r>
      <w:r>
        <w:rPr>
          <w:rFonts w:hint="eastAsia" w:asciiTheme="minorEastAsia" w:hAnsiTheme="minorEastAsia" w:eastAsiaTheme="minorEastAsia" w:cstheme="minorEastAsia"/>
          <w:color w:val="auto"/>
          <w:sz w:val="21"/>
          <w:szCs w:val="21"/>
          <w:lang w:val="en-US" w:eastAsia="zh-CN"/>
        </w:rPr>
        <w:t>资料</w:t>
      </w:r>
      <w:r>
        <w:rPr>
          <w:rFonts w:hint="eastAsia" w:asciiTheme="minorEastAsia" w:hAnsiTheme="minorEastAsia" w:eastAsiaTheme="minorEastAsia" w:cstheme="minorEastAsia"/>
          <w:color w:val="auto"/>
          <w:sz w:val="21"/>
          <w:szCs w:val="21"/>
        </w:rPr>
        <w:t>），且任何乙方均承认如向第三方披露任何该等保密资料将会损害对方研发相关产品及经营相关业务的能力或公司商业及其它利益。因此，甲乙双方经协商一致后，统一签署如下保密协议，以资信守。</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第一条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保密资料的定义</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已经或将公布于众的资料，但不包括甲乙双方或其代表违反本协议规定未经授权所披露的；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在任何一方向接受方披露前已为该方知悉的非保密性资料；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第二条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双方责任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甲乙双方互为保密资料的提供方和接受方，负有保密义务，承担保密责任。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双方均须把保密资料的接触范围严格限制在因本协议规定目的而需接触保密资料的各自负责任的代表的范围内。</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除经过双方书面同意而必要进行披露外，任何一方不得将含有对方或其代表披露的保密资料复印或复制或者有意无意地提供给他人。</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（六）甲乙双方将以并应促使各自的代表以不低于其对自己拥有的类似资料的照料程度来对待对方向其披露的保密资料，但在任何情况下，对保密资料的照料都不能低于合理程度。</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第三条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知识产权</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第四条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保密资料的保存和使用</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甲乙双方中的任何一方有权保存必要的保密资料，以便在履行其在合作项目工作中所承担的法律、规章与义务时使用该等保密资料。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甲乙双方有权使用保密资料对任何针对接受方或其代表的与本协议项目及其事务相关的索赔、诉讼、司法程序及指控进行抗辩，或者对与本协议项目及其事务相关的传唤、传票或其他法律程序做出答复。</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任何一方在书面通知对方并将披露的复印件抄送对方后，可根据需要在提交任何市、省、中央或其他对接受方有管辖权或声称对接受方有管辖权的监管团体的任何报告、声明或证明中披露保密资料。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第五条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争议解决和适用法律</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第六条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协议有效期</w:t>
      </w:r>
      <w:r>
        <w:rPr>
          <w:rStyle w:val="26"/>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本协议自甲乙双方签字盖章之日起生效。</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以下为</w:t>
      </w:r>
      <w:r>
        <w:rPr>
          <w:rFonts w:hint="eastAsia" w:asciiTheme="minorEastAsia" w:hAnsiTheme="minorEastAsia" w:eastAsiaTheme="minorEastAsia" w:cstheme="minorEastAsia"/>
          <w:color w:val="auto"/>
          <w:sz w:val="21"/>
          <w:szCs w:val="21"/>
          <w:lang w:eastAsia="zh-CN"/>
        </w:rPr>
        <w:t>生活污水微动力处理设备</w:t>
      </w:r>
      <w:r>
        <w:rPr>
          <w:rFonts w:hint="eastAsia" w:asciiTheme="minorEastAsia" w:hAnsiTheme="minorEastAsia" w:eastAsiaTheme="minorEastAsia" w:cstheme="minorEastAsia"/>
          <w:color w:val="auto"/>
          <w:sz w:val="21"/>
          <w:szCs w:val="21"/>
          <w:lang w:val="en-US" w:eastAsia="zh-CN"/>
        </w:rPr>
        <w:t>采购合同</w:t>
      </w:r>
      <w:r>
        <w:rPr>
          <w:rFonts w:hint="eastAsia" w:asciiTheme="minorEastAsia" w:hAnsiTheme="minorEastAsia" w:eastAsiaTheme="minorEastAsia" w:cstheme="minorEastAsia"/>
          <w:color w:val="auto"/>
          <w:sz w:val="21"/>
          <w:szCs w:val="21"/>
        </w:rPr>
        <w:t>合作保密</w:t>
      </w:r>
      <w:r>
        <w:rPr>
          <w:rFonts w:hint="eastAsia" w:asciiTheme="minorEastAsia" w:hAnsiTheme="minorEastAsia" w:eastAsiaTheme="minorEastAsia" w:cstheme="minorEastAsia"/>
          <w:color w:val="auto"/>
          <w:sz w:val="21"/>
          <w:szCs w:val="21"/>
          <w:lang w:val="en-US" w:eastAsia="zh-CN"/>
        </w:rPr>
        <w:t>协议签署页</w:t>
      </w:r>
      <w:r>
        <w:rPr>
          <w:rFonts w:hint="eastAsia" w:asciiTheme="minorEastAsia" w:hAnsiTheme="minorEastAsia" w:eastAsiaTheme="minorEastAsia" w:cstheme="minorEastAsia"/>
          <w:color w:val="auto"/>
          <w:sz w:val="21"/>
          <w:szCs w:val="21"/>
          <w:lang w:eastAsia="zh-CN"/>
        </w:rPr>
        <w:t>）</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甲方（盖章）：_________           乙方（盖章）：_________</w:t>
      </w:r>
    </w:p>
    <w:p>
      <w:pPr>
        <w:rPr>
          <w:rFonts w:hint="eastAsia"/>
          <w:color w:val="auto"/>
          <w:lang w:val="en-US" w:eastAsia="zh-CN"/>
        </w:rPr>
      </w:pPr>
      <w:r>
        <w:rPr>
          <w:rFonts w:hint="eastAsia"/>
          <w:color w:val="auto"/>
          <w:lang w:val="en-US" w:eastAsia="zh-CN"/>
        </w:rPr>
        <w:br w:type="page"/>
      </w:r>
    </w:p>
    <w:p>
      <w:pPr>
        <w:widowControl/>
        <w:wordWrap/>
        <w:spacing w:line="240" w:lineRule="auto"/>
        <w:ind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w:t>
      </w:r>
      <w:r>
        <w:rPr>
          <w:rFonts w:hint="eastAsia" w:ascii="仿宋" w:hAnsi="仿宋" w:eastAsia="仿宋" w:cs="仿宋"/>
          <w:color w:val="auto"/>
          <w:sz w:val="32"/>
          <w:szCs w:val="32"/>
          <w:lang w:val="en-US" w:eastAsia="zh-CN"/>
        </w:rPr>
        <w:t>技术参数</w:t>
      </w:r>
    </w:p>
    <w:p>
      <w:pPr>
        <w:rPr>
          <w:rFonts w:hint="eastAsia"/>
          <w:lang w:val="en-US" w:eastAsia="zh-CN"/>
        </w:rPr>
      </w:pPr>
    </w:p>
    <w:p>
      <w:pPr>
        <w:pStyle w:val="4"/>
        <w:tabs>
          <w:tab w:val="left" w:pos="576"/>
        </w:tabs>
      </w:pPr>
      <w:r>
        <w:rPr>
          <w:rFonts w:hint="eastAsia"/>
          <w:lang w:val="en-US" w:eastAsia="zh-CN"/>
        </w:rPr>
        <w:t>一、</w:t>
      </w:r>
      <w:r>
        <w:t>项目规模</w:t>
      </w:r>
    </w:p>
    <w:p>
      <w:pPr>
        <w:spacing w:line="360" w:lineRule="auto"/>
        <w:ind w:firstLine="480" w:firstLineChars="200"/>
        <w:rPr>
          <w:rFonts w:hint="eastAsia"/>
        </w:rPr>
      </w:pPr>
      <w:r>
        <w:rPr>
          <w:rFonts w:ascii="Times New Roman" w:hAnsi="Times New Roman" w:cs="Times New Roman"/>
        </w:rPr>
        <w:t>单台设备处理规模</w:t>
      </w:r>
      <w:r>
        <w:rPr>
          <w:rFonts w:hint="eastAsia" w:ascii="Times New Roman" w:hAnsi="Times New Roman" w:cs="Times New Roman"/>
        </w:rPr>
        <w:t>1T/d</w:t>
      </w:r>
      <w:r>
        <w:rPr>
          <w:rFonts w:hint="eastAsia" w:ascii="Times New Roman" w:hAnsi="Times New Roman" w:cs="Times New Roman"/>
          <w:lang w:eastAsia="zh-CN"/>
        </w:rPr>
        <w:t>，</w:t>
      </w:r>
      <w:r>
        <w:rPr>
          <w:rFonts w:hint="eastAsia"/>
        </w:rPr>
        <w:t>不包括污水收集管网设计、建设。</w:t>
      </w:r>
    </w:p>
    <w:p>
      <w:pPr>
        <w:pStyle w:val="4"/>
        <w:tabs>
          <w:tab w:val="left" w:pos="576"/>
        </w:tabs>
        <w:ind w:left="0" w:leftChars="0" w:firstLine="0" w:firstLineChars="0"/>
        <w:rPr>
          <w:rFonts w:hint="default" w:eastAsia="宋体"/>
          <w:lang w:val="en-US" w:eastAsia="zh-CN"/>
        </w:rPr>
      </w:pPr>
      <w:r>
        <w:rPr>
          <w:rFonts w:hint="eastAsia"/>
          <w:lang w:val="en-US" w:eastAsia="zh-CN"/>
        </w:rPr>
        <w:t>二、产品要求</w:t>
      </w:r>
    </w:p>
    <w:p>
      <w:pPr>
        <w:spacing w:before="156" w:beforeLines="50" w:after="156" w:afterLines="50" w:line="360" w:lineRule="auto"/>
        <w:rPr>
          <w:rFonts w:hint="eastAsia" w:eastAsia="宋体"/>
          <w:lang w:eastAsia="zh-CN"/>
        </w:rPr>
      </w:pPr>
      <w:r>
        <w:rPr>
          <w:rFonts w:hint="eastAsia"/>
          <w:lang w:val="en-US" w:eastAsia="zh-CN"/>
        </w:rPr>
        <w:t>1、低</w:t>
      </w:r>
      <w:r>
        <w:rPr>
          <w:rFonts w:hint="eastAsia"/>
        </w:rPr>
        <w:t>噪音</w:t>
      </w:r>
      <w:r>
        <w:rPr>
          <w:rFonts w:hint="eastAsia"/>
          <w:lang w:eastAsia="zh-CN"/>
        </w:rPr>
        <w:t>，</w:t>
      </w:r>
      <w:r>
        <w:rPr>
          <w:rFonts w:hint="eastAsia"/>
        </w:rPr>
        <w:t>选用静音气泵，噪音级（1m）≤44dB</w:t>
      </w:r>
      <w:r>
        <w:rPr>
          <w:rFonts w:hint="eastAsia"/>
          <w:lang w:eastAsia="zh-CN"/>
        </w:rPr>
        <w:t>；</w:t>
      </w:r>
    </w:p>
    <w:p>
      <w:pPr>
        <w:spacing w:before="156" w:beforeLines="50" w:after="156" w:afterLines="50" w:line="360" w:lineRule="auto"/>
        <w:rPr>
          <w:rFonts w:hint="eastAsia"/>
        </w:rPr>
      </w:pPr>
      <w:r>
        <w:rPr>
          <w:rFonts w:hint="eastAsia"/>
          <w:lang w:val="en-US" w:eastAsia="zh-CN"/>
        </w:rPr>
        <w:t>2、低</w:t>
      </w:r>
      <w:r>
        <w:rPr>
          <w:rFonts w:hint="eastAsia"/>
        </w:rPr>
        <w:t>产泥</w:t>
      </w:r>
      <w:r>
        <w:rPr>
          <w:rFonts w:hint="eastAsia"/>
          <w:lang w:eastAsia="zh-CN"/>
        </w:rPr>
        <w:t>，</w:t>
      </w:r>
      <w:r>
        <w:rPr>
          <w:rFonts w:hint="eastAsia"/>
          <w:lang w:val="en-US" w:eastAsia="zh-CN"/>
        </w:rPr>
        <w:t>污泥清理周期6个月以上</w:t>
      </w:r>
      <w:r>
        <w:rPr>
          <w:rFonts w:hint="eastAsia"/>
        </w:rPr>
        <w:t>；</w:t>
      </w:r>
    </w:p>
    <w:p>
      <w:pPr>
        <w:spacing w:before="156" w:beforeLines="50" w:after="156" w:afterLines="50" w:line="360" w:lineRule="auto"/>
        <w:rPr>
          <w:rFonts w:hint="default"/>
          <w:lang w:val="en-US" w:eastAsia="zh-CN"/>
        </w:rPr>
      </w:pPr>
      <w:r>
        <w:rPr>
          <w:rFonts w:hint="eastAsia"/>
          <w:lang w:val="en-US" w:eastAsia="zh-CN"/>
        </w:rPr>
        <w:t>3、设备体积不大于4立方米，采用一体化架构，可地埋或露天放置，应能根据现场实际安装条件进行调整。</w:t>
      </w:r>
    </w:p>
    <w:p>
      <w:pPr>
        <w:spacing w:before="156" w:beforeLines="50" w:after="156" w:afterLines="50" w:line="360" w:lineRule="auto"/>
        <w:rPr>
          <w:rFonts w:hint="eastAsia"/>
          <w:lang w:eastAsia="zh-CN"/>
        </w:rPr>
      </w:pPr>
      <w:r>
        <w:rPr>
          <w:rFonts w:hint="eastAsia"/>
          <w:lang w:val="en-US" w:eastAsia="zh-CN"/>
        </w:rPr>
        <w:t>4、应采用AO或者A²O工艺，出水水质执行一级B标准。</w:t>
      </w:r>
    </w:p>
    <w:p>
      <w:pPr>
        <w:pStyle w:val="4"/>
        <w:tabs>
          <w:tab w:val="left" w:pos="576"/>
        </w:tabs>
      </w:pPr>
      <w:r>
        <w:rPr>
          <w:rFonts w:hint="eastAsia"/>
          <w:lang w:val="en-US" w:eastAsia="zh-CN"/>
        </w:rPr>
        <w:t>三、</w:t>
      </w:r>
      <w:r>
        <w:rPr>
          <w:rFonts w:hint="eastAsia"/>
        </w:rPr>
        <w:t>进水水质及出水水质标准</w:t>
      </w:r>
    </w:p>
    <w:p>
      <w:pPr>
        <w:spacing w:before="156" w:beforeLines="50" w:after="156" w:afterLines="50" w:line="360" w:lineRule="auto"/>
        <w:ind w:firstLine="480" w:firstLineChars="200"/>
      </w:pPr>
      <w:r>
        <w:rPr>
          <w:rFonts w:hint="eastAsia"/>
        </w:rPr>
        <w:t>本项目处理</w:t>
      </w:r>
      <w:r>
        <w:t>污水主要为生活污水，</w:t>
      </w:r>
      <w:r>
        <w:rPr>
          <w:rFonts w:hint="eastAsia"/>
        </w:rPr>
        <w:t>现</w:t>
      </w:r>
      <w:r>
        <w:t>确定本项目的进水水质</w:t>
      </w:r>
      <w:r>
        <w:rPr>
          <w:rFonts w:hint="eastAsia"/>
        </w:rPr>
        <w:t>污染物参数</w:t>
      </w:r>
      <w:r>
        <w:t>如表</w:t>
      </w:r>
      <w:r>
        <w:rPr>
          <w:rFonts w:hint="eastAsia"/>
        </w:rPr>
        <w:t>1.</w:t>
      </w:r>
      <w:r>
        <w:rPr>
          <w:rFonts w:hint="eastAsia"/>
          <w:lang w:val="en-US" w:eastAsia="zh-CN"/>
        </w:rPr>
        <w:t>1</w:t>
      </w:r>
      <w:r>
        <w:rPr>
          <w:rFonts w:hint="eastAsia"/>
        </w:rPr>
        <w:t>.1所示。处理后排放标准</w:t>
      </w:r>
      <w:r>
        <w:t>达到</w:t>
      </w:r>
      <w:r>
        <w:rPr>
          <w:rFonts w:hint="eastAsia"/>
        </w:rPr>
        <w:t>《村庄生活污水治理水污染物排放标准》</w:t>
      </w:r>
      <w:r>
        <w:t>DB32/T 3462-20</w:t>
      </w:r>
      <w:r>
        <w:rPr>
          <w:rFonts w:hint="eastAsia"/>
        </w:rPr>
        <w:t xml:space="preserve">20一级B标准。    </w:t>
      </w:r>
    </w:p>
    <w:p>
      <w:pPr>
        <w:spacing w:before="156" w:beforeLines="50" w:after="156" w:afterLines="50" w:line="240" w:lineRule="exact"/>
        <w:jc w:val="center"/>
        <w:rPr>
          <w:rFonts w:ascii="Times New Roman" w:hAnsi="Times New Roman" w:cs="Times New Roman"/>
          <w:b/>
          <w:szCs w:val="21"/>
        </w:rPr>
      </w:pPr>
      <w:r>
        <w:rPr>
          <w:b/>
          <w:szCs w:val="21"/>
        </w:rPr>
        <w:t>表</w:t>
      </w:r>
      <w:r>
        <w:rPr>
          <w:rFonts w:hint="eastAsia"/>
          <w:b/>
          <w:szCs w:val="21"/>
        </w:rPr>
        <w:t>1.</w:t>
      </w:r>
      <w:r>
        <w:rPr>
          <w:rFonts w:hint="eastAsia"/>
          <w:b/>
          <w:szCs w:val="21"/>
          <w:lang w:val="en-US" w:eastAsia="zh-CN"/>
        </w:rPr>
        <w:t>1</w:t>
      </w:r>
      <w:r>
        <w:rPr>
          <w:rFonts w:hint="eastAsia"/>
          <w:b/>
          <w:szCs w:val="21"/>
        </w:rPr>
        <w:t>.1</w:t>
      </w:r>
      <w:r>
        <w:rPr>
          <w:b/>
          <w:szCs w:val="21"/>
        </w:rPr>
        <w:t xml:space="preserve">  进水水质</w:t>
      </w:r>
      <w:r>
        <w:rPr>
          <w:rFonts w:hint="eastAsia"/>
          <w:b/>
          <w:szCs w:val="21"/>
        </w:rPr>
        <w:t xml:space="preserve">表 </w:t>
      </w:r>
      <w:r>
        <w:rPr>
          <w:rFonts w:hint="eastAsia" w:ascii="Times New Roman" w:hAnsi="Times New Roman" w:cs="Times New Roman"/>
          <w:b/>
          <w:szCs w:val="21"/>
        </w:rPr>
        <w:t>单位为mg/L</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36"/>
        <w:gridCol w:w="1270"/>
        <w:gridCol w:w="1132"/>
        <w:gridCol w:w="1132"/>
        <w:gridCol w:w="1087"/>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项目</w:t>
            </w:r>
          </w:p>
        </w:tc>
        <w:tc>
          <w:tcPr>
            <w:tcW w:w="936"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pH值</w:t>
            </w:r>
          </w:p>
        </w:tc>
        <w:tc>
          <w:tcPr>
            <w:tcW w:w="127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COD</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BOD</w:t>
            </w:r>
            <w:r>
              <w:rPr>
                <w:rFonts w:hint="eastAsia" w:ascii="仿宋" w:hAnsi="仿宋" w:eastAsia="仿宋" w:cs="Times New Roman"/>
                <w:sz w:val="21"/>
                <w:szCs w:val="21"/>
                <w:vertAlign w:val="subscript"/>
              </w:rPr>
              <w:t>5</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SS</w:t>
            </w:r>
          </w:p>
        </w:tc>
        <w:tc>
          <w:tcPr>
            <w:tcW w:w="1087"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NH</w:t>
            </w:r>
            <w:r>
              <w:rPr>
                <w:rFonts w:hint="eastAsia" w:ascii="仿宋" w:hAnsi="仿宋" w:eastAsia="仿宋" w:cs="Times New Roman"/>
                <w:sz w:val="21"/>
                <w:szCs w:val="21"/>
                <w:vertAlign w:val="subscript"/>
              </w:rPr>
              <w:t>3</w:t>
            </w:r>
            <w:r>
              <w:rPr>
                <w:rFonts w:hint="eastAsia" w:ascii="仿宋" w:hAnsi="仿宋" w:eastAsia="仿宋" w:cs="Times New Roman"/>
                <w:sz w:val="21"/>
                <w:szCs w:val="21"/>
              </w:rPr>
              <w:t>-N</w:t>
            </w:r>
          </w:p>
        </w:tc>
        <w:tc>
          <w:tcPr>
            <w:tcW w:w="99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TN</w:t>
            </w:r>
          </w:p>
        </w:tc>
        <w:tc>
          <w:tcPr>
            <w:tcW w:w="113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范围</w:t>
            </w:r>
          </w:p>
        </w:tc>
        <w:tc>
          <w:tcPr>
            <w:tcW w:w="936"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6～8</w:t>
            </w:r>
          </w:p>
        </w:tc>
        <w:tc>
          <w:tcPr>
            <w:tcW w:w="1270"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200～450</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150～250</w:t>
            </w:r>
          </w:p>
        </w:tc>
        <w:tc>
          <w:tcPr>
            <w:tcW w:w="113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150～250</w:t>
            </w:r>
          </w:p>
        </w:tc>
        <w:tc>
          <w:tcPr>
            <w:tcW w:w="1087"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20～45</w:t>
            </w:r>
          </w:p>
        </w:tc>
        <w:tc>
          <w:tcPr>
            <w:tcW w:w="992" w:type="dxa"/>
            <w:vAlign w:val="center"/>
          </w:tcPr>
          <w:p>
            <w:pPr>
              <w:pStyle w:val="41"/>
              <w:jc w:val="center"/>
              <w:rPr>
                <w:rFonts w:ascii="仿宋" w:hAnsi="仿宋" w:eastAsia="仿宋" w:cs="Times New Roman"/>
                <w:sz w:val="21"/>
                <w:szCs w:val="21"/>
              </w:rPr>
            </w:pPr>
            <w:r>
              <w:rPr>
                <w:rFonts w:hint="eastAsia" w:ascii="仿宋" w:hAnsi="仿宋" w:eastAsia="仿宋" w:cs="Times New Roman"/>
                <w:sz w:val="21"/>
                <w:szCs w:val="21"/>
              </w:rPr>
              <w:t>30～60</w:t>
            </w:r>
          </w:p>
        </w:tc>
        <w:tc>
          <w:tcPr>
            <w:tcW w:w="1130" w:type="dxa"/>
            <w:vAlign w:val="center"/>
          </w:tcPr>
          <w:p>
            <w:pPr>
              <w:pStyle w:val="41"/>
              <w:jc w:val="both"/>
              <w:rPr>
                <w:rFonts w:ascii="仿宋" w:hAnsi="仿宋" w:eastAsia="仿宋" w:cs="Times New Roman"/>
                <w:sz w:val="21"/>
                <w:szCs w:val="21"/>
              </w:rPr>
            </w:pPr>
            <w:r>
              <w:rPr>
                <w:rFonts w:hint="eastAsia" w:ascii="仿宋" w:hAnsi="仿宋" w:eastAsia="仿宋" w:cs="Times New Roman"/>
                <w:sz w:val="21"/>
                <w:szCs w:val="21"/>
              </w:rPr>
              <w:t>3.0～6.0</w:t>
            </w:r>
          </w:p>
        </w:tc>
      </w:tr>
    </w:tbl>
    <w:p>
      <w:pPr>
        <w:pStyle w:val="53"/>
      </w:pPr>
    </w:p>
    <w:p>
      <w:pPr>
        <w:spacing w:before="156" w:beforeLines="50" w:after="156" w:afterLines="50" w:line="240" w:lineRule="exact"/>
        <w:jc w:val="center"/>
        <w:rPr>
          <w:rFonts w:ascii="Times New Roman" w:hAnsi="Times New Roman" w:cs="Times New Roman"/>
          <w:b/>
          <w:szCs w:val="21"/>
        </w:rPr>
      </w:pPr>
      <w:r>
        <w:rPr>
          <w:rFonts w:hint="eastAsia" w:ascii="Times New Roman" w:hAnsi="Times New Roman" w:cs="Times New Roman"/>
          <w:b/>
          <w:szCs w:val="21"/>
        </w:rPr>
        <w:t>表</w:t>
      </w:r>
      <w:r>
        <w:rPr>
          <w:rFonts w:hint="eastAsia"/>
          <w:b/>
          <w:szCs w:val="21"/>
        </w:rPr>
        <w:t>1.</w:t>
      </w:r>
      <w:r>
        <w:rPr>
          <w:rFonts w:hint="eastAsia"/>
          <w:b/>
          <w:szCs w:val="21"/>
          <w:lang w:val="en-US" w:eastAsia="zh-CN"/>
        </w:rPr>
        <w:t>1</w:t>
      </w:r>
      <w:r>
        <w:rPr>
          <w:rFonts w:hint="eastAsia"/>
          <w:b/>
          <w:szCs w:val="21"/>
        </w:rPr>
        <w:t>.2</w:t>
      </w:r>
      <w:r>
        <w:rPr>
          <w:rFonts w:hint="eastAsia" w:ascii="Times New Roman" w:hAnsi="Times New Roman" w:cs="Times New Roman"/>
          <w:b/>
          <w:szCs w:val="21"/>
        </w:rPr>
        <w:t xml:space="preserve"> </w:t>
      </w:r>
      <w:r>
        <w:rPr>
          <w:b/>
          <w:szCs w:val="21"/>
        </w:rPr>
        <w:t xml:space="preserve"> </w:t>
      </w:r>
      <w:r>
        <w:rPr>
          <w:rFonts w:hint="eastAsia"/>
          <w:b/>
          <w:szCs w:val="21"/>
        </w:rPr>
        <w:t>出</w:t>
      </w:r>
      <w:r>
        <w:rPr>
          <w:b/>
          <w:szCs w:val="21"/>
        </w:rPr>
        <w:t>水水质</w:t>
      </w:r>
      <w:r>
        <w:rPr>
          <w:rFonts w:hint="eastAsia"/>
          <w:b/>
          <w:szCs w:val="21"/>
        </w:rPr>
        <w:t>表</w:t>
      </w:r>
      <w:r>
        <w:rPr>
          <w:rFonts w:hint="eastAsia" w:ascii="Times New Roman" w:hAnsi="Times New Roman" w:cs="Times New Roman"/>
          <w:b/>
          <w:szCs w:val="21"/>
        </w:rPr>
        <w:t>基本控制项目排放限值   单位为mg/L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9"/>
        <w:gridCol w:w="1121"/>
        <w:gridCol w:w="1358"/>
        <w:gridCol w:w="183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6"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序号</w:t>
            </w:r>
          </w:p>
        </w:tc>
        <w:tc>
          <w:tcPr>
            <w:tcW w:w="1739"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控制项目</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一级标准</w:t>
            </w:r>
          </w:p>
        </w:tc>
        <w:tc>
          <w:tcPr>
            <w:tcW w:w="1833" w:type="dxa"/>
            <w:vMerge w:val="restart"/>
            <w:vAlign w:val="center"/>
          </w:tcPr>
          <w:p>
            <w:pPr>
              <w:widowControl/>
              <w:jc w:val="center"/>
              <w:rPr>
                <w:rFonts w:ascii="仿宋" w:hAnsi="仿宋" w:eastAsia="仿宋"/>
                <w:kern w:val="0"/>
                <w:szCs w:val="21"/>
              </w:rPr>
            </w:pPr>
            <w:r>
              <w:rPr>
                <w:rFonts w:hint="eastAsia" w:ascii="仿宋" w:hAnsi="仿宋" w:eastAsia="仿宋"/>
                <w:kern w:val="0"/>
                <w:szCs w:val="21"/>
              </w:rPr>
              <w:t>二级标准</w:t>
            </w:r>
          </w:p>
        </w:tc>
        <w:tc>
          <w:tcPr>
            <w:tcW w:w="1835"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36" w:type="dxa"/>
            <w:vMerge w:val="continue"/>
            <w:vAlign w:val="center"/>
          </w:tcPr>
          <w:p>
            <w:pPr>
              <w:widowControl/>
              <w:rPr>
                <w:rFonts w:ascii="仿宋" w:hAnsi="仿宋" w:eastAsia="仿宋"/>
                <w:kern w:val="0"/>
                <w:szCs w:val="21"/>
              </w:rPr>
            </w:pPr>
          </w:p>
        </w:tc>
        <w:tc>
          <w:tcPr>
            <w:tcW w:w="1739" w:type="dxa"/>
            <w:vMerge w:val="continue"/>
            <w:vAlign w:val="center"/>
          </w:tcPr>
          <w:p>
            <w:pPr>
              <w:widowControl/>
              <w:rPr>
                <w:rFonts w:ascii="仿宋" w:hAnsi="仿宋" w:eastAsia="仿宋"/>
                <w:kern w:val="0"/>
                <w:szCs w:val="21"/>
              </w:rPr>
            </w:pP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A标准</w:t>
            </w:r>
          </w:p>
        </w:tc>
        <w:tc>
          <w:tcPr>
            <w:tcW w:w="1358" w:type="dxa"/>
            <w:noWrap/>
            <w:vAlign w:val="center"/>
          </w:tcPr>
          <w:p>
            <w:pPr>
              <w:widowControl/>
              <w:jc w:val="center"/>
              <w:rPr>
                <w:rFonts w:ascii="仿宋" w:hAnsi="仿宋" w:eastAsia="仿宋"/>
                <w:kern w:val="0"/>
                <w:szCs w:val="21"/>
              </w:rPr>
            </w:pPr>
            <w:r>
              <w:rPr>
                <w:rFonts w:hint="eastAsia" w:ascii="仿宋" w:hAnsi="仿宋" w:eastAsia="仿宋"/>
                <w:kern w:val="0"/>
                <w:szCs w:val="21"/>
              </w:rPr>
              <w:t>B标准</w:t>
            </w:r>
          </w:p>
        </w:tc>
        <w:tc>
          <w:tcPr>
            <w:tcW w:w="1833" w:type="dxa"/>
            <w:vMerge w:val="continue"/>
          </w:tcPr>
          <w:p>
            <w:pPr>
              <w:widowControl/>
              <w:rPr>
                <w:rFonts w:ascii="仿宋" w:hAnsi="仿宋" w:eastAsia="仿宋"/>
                <w:kern w:val="0"/>
                <w:szCs w:val="21"/>
              </w:rPr>
            </w:pPr>
          </w:p>
        </w:tc>
        <w:tc>
          <w:tcPr>
            <w:tcW w:w="1835" w:type="dxa"/>
            <w:vMerge w:val="continue"/>
            <w:vAlign w:val="center"/>
          </w:tcPr>
          <w:p>
            <w:pPr>
              <w:widowControl/>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P</w:t>
            </w:r>
            <w:r>
              <w:rPr>
                <w:rFonts w:ascii="仿宋" w:hAnsi="仿宋" w:eastAsia="仿宋"/>
                <w:kern w:val="0"/>
                <w:szCs w:val="21"/>
              </w:rPr>
              <w:t>H</w:t>
            </w:r>
          </w:p>
        </w:tc>
        <w:tc>
          <w:tcPr>
            <w:tcW w:w="6147" w:type="dxa"/>
            <w:gridSpan w:val="4"/>
            <w:noWrap/>
            <w:vAlign w:val="center"/>
          </w:tcPr>
          <w:p>
            <w:pPr>
              <w:widowControl/>
              <w:jc w:val="center"/>
              <w:rPr>
                <w:rFonts w:ascii="仿宋" w:hAnsi="仿宋" w:eastAsia="仿宋"/>
                <w:kern w:val="0"/>
                <w:szCs w:val="21"/>
              </w:rPr>
            </w:pPr>
            <w:r>
              <w:rPr>
                <w:rFonts w:hint="eastAsia" w:ascii="仿宋" w:hAnsi="仿宋" w:eastAsia="仿宋"/>
                <w:kern w:val="0"/>
                <w:szCs w:val="21"/>
              </w:rPr>
              <w:t>6</w:t>
            </w:r>
            <w:r>
              <w:rPr>
                <w:rFonts w:ascii="仿宋" w:hAnsi="仿宋" w:eastAsia="仿宋"/>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C</w:t>
            </w:r>
            <w:r>
              <w:rPr>
                <w:rFonts w:ascii="仿宋" w:hAnsi="仿宋" w:eastAsia="仿宋"/>
                <w:kern w:val="0"/>
                <w:szCs w:val="21"/>
              </w:rPr>
              <w:t>OD</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6</w:t>
            </w:r>
            <w:r>
              <w:rPr>
                <w:rFonts w:ascii="仿宋" w:hAnsi="仿宋" w:eastAsia="仿宋"/>
                <w:kern w:val="0"/>
                <w:szCs w:val="21"/>
              </w:rPr>
              <w:t>0</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00</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S</w:t>
            </w:r>
            <w:r>
              <w:rPr>
                <w:rFonts w:ascii="仿宋" w:hAnsi="仿宋" w:eastAsia="仿宋"/>
                <w:kern w:val="0"/>
                <w:szCs w:val="21"/>
              </w:rPr>
              <w:t>S</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3</w:t>
            </w:r>
            <w:r>
              <w:rPr>
                <w:rFonts w:ascii="仿宋" w:hAnsi="仿宋" w:eastAsia="仿宋"/>
                <w:kern w:val="0"/>
                <w:szCs w:val="21"/>
              </w:rPr>
              <w:t>0</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5</w:t>
            </w:r>
            <w:r>
              <w:rPr>
                <w:rFonts w:ascii="仿宋" w:hAnsi="仿宋"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4</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N</w:t>
            </w:r>
            <w:r>
              <w:rPr>
                <w:rFonts w:ascii="仿宋" w:hAnsi="仿宋" w:eastAsia="仿宋"/>
                <w:kern w:val="0"/>
                <w:szCs w:val="21"/>
              </w:rPr>
              <w:t>H</w:t>
            </w:r>
            <w:r>
              <w:rPr>
                <w:rFonts w:ascii="仿宋" w:hAnsi="仿宋" w:eastAsia="仿宋"/>
                <w:kern w:val="0"/>
                <w:szCs w:val="21"/>
                <w:vertAlign w:val="subscript"/>
              </w:rPr>
              <w:t>3</w:t>
            </w:r>
            <w:r>
              <w:rPr>
                <w:rFonts w:ascii="仿宋" w:hAnsi="仿宋" w:eastAsia="仿宋"/>
                <w:kern w:val="0"/>
                <w:szCs w:val="21"/>
              </w:rPr>
              <w:t>-N</w:t>
            </w:r>
            <w:r>
              <w:rPr>
                <w:rFonts w:hint="eastAsia" w:ascii="仿宋" w:hAnsi="仿宋" w:eastAsia="仿宋"/>
                <w:kern w:val="0"/>
                <w:szCs w:val="21"/>
              </w:rPr>
              <w:t>（以N计）</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8（1</w:t>
            </w:r>
            <w:r>
              <w:rPr>
                <w:rFonts w:ascii="仿宋" w:hAnsi="仿宋" w:eastAsia="仿宋"/>
                <w:kern w:val="0"/>
                <w:szCs w:val="21"/>
              </w:rPr>
              <w:t>5</w:t>
            </w:r>
            <w:r>
              <w:rPr>
                <w:rFonts w:hint="eastAsia" w:ascii="仿宋" w:hAnsi="仿宋" w:eastAsia="仿宋"/>
                <w:kern w:val="0"/>
                <w:szCs w:val="21"/>
              </w:rPr>
              <w:t>）</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1</w:t>
            </w:r>
            <w:r>
              <w:rPr>
                <w:rFonts w:ascii="仿宋" w:hAnsi="仿宋" w:eastAsia="仿宋"/>
                <w:kern w:val="0"/>
                <w:szCs w:val="21"/>
              </w:rPr>
              <w:t>5</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5</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T</w:t>
            </w:r>
            <w:r>
              <w:rPr>
                <w:rFonts w:ascii="仿宋" w:hAnsi="仿宋" w:eastAsia="仿宋"/>
                <w:kern w:val="0"/>
                <w:szCs w:val="21"/>
              </w:rPr>
              <w:t>N</w:t>
            </w:r>
            <w:r>
              <w:rPr>
                <w:rFonts w:hint="eastAsia" w:ascii="仿宋" w:hAnsi="仿宋" w:eastAsia="仿宋"/>
                <w:kern w:val="0"/>
                <w:szCs w:val="21"/>
              </w:rPr>
              <w:t>（以N计）</w:t>
            </w: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c>
          <w:tcPr>
            <w:tcW w:w="3191"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r>
              <w:rPr>
                <w:rFonts w:ascii="仿宋" w:hAnsi="仿宋" w:eastAsia="仿宋"/>
                <w:kern w:val="0"/>
                <w:szCs w:val="21"/>
              </w:rPr>
              <w:t>0</w:t>
            </w:r>
            <w:r>
              <w:rPr>
                <w:rFonts w:hint="eastAsia" w:ascii="仿宋" w:hAnsi="仿宋" w:eastAsia="仿宋"/>
                <w:kern w:val="0"/>
                <w:szCs w:val="21"/>
                <w:vertAlign w:val="superscript"/>
              </w:rPr>
              <w:t>b</w:t>
            </w:r>
          </w:p>
        </w:tc>
        <w:tc>
          <w:tcPr>
            <w:tcW w:w="1835" w:type="dxa"/>
            <w:noWrap/>
            <w:vAlign w:val="center"/>
          </w:tcPr>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6</w:t>
            </w:r>
          </w:p>
        </w:tc>
        <w:tc>
          <w:tcPr>
            <w:tcW w:w="1739" w:type="dxa"/>
            <w:noWrap/>
            <w:vAlign w:val="center"/>
          </w:tcPr>
          <w:p>
            <w:pPr>
              <w:widowControl/>
              <w:jc w:val="center"/>
              <w:rPr>
                <w:rFonts w:ascii="仿宋" w:hAnsi="仿宋" w:eastAsia="仿宋"/>
                <w:kern w:val="0"/>
                <w:szCs w:val="21"/>
              </w:rPr>
            </w:pPr>
            <w:r>
              <w:rPr>
                <w:rFonts w:ascii="仿宋" w:hAnsi="仿宋" w:eastAsia="仿宋"/>
                <w:kern w:val="0"/>
                <w:szCs w:val="21"/>
              </w:rPr>
              <w:t>TP</w:t>
            </w:r>
            <w:r>
              <w:rPr>
                <w:rFonts w:hint="eastAsia" w:ascii="仿宋" w:hAnsi="仿宋" w:eastAsia="仿宋"/>
                <w:kern w:val="0"/>
                <w:szCs w:val="21"/>
              </w:rPr>
              <w:t>（以P计）</w:t>
            </w: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3191"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r>
              <w:rPr>
                <w:rFonts w:hint="eastAsia" w:ascii="仿宋" w:hAnsi="仿宋" w:eastAsia="仿宋"/>
                <w:kern w:val="0"/>
                <w:szCs w:val="21"/>
                <w:vertAlign w:val="superscript"/>
              </w:rPr>
              <w:t>c</w:t>
            </w:r>
          </w:p>
        </w:tc>
        <w:tc>
          <w:tcPr>
            <w:tcW w:w="1835" w:type="dxa"/>
            <w:noWrap/>
            <w:vAlign w:val="center"/>
          </w:tcPr>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kern w:val="0"/>
                <w:szCs w:val="21"/>
              </w:rPr>
            </w:pPr>
            <w:r>
              <w:rPr>
                <w:rFonts w:ascii="仿宋" w:hAnsi="仿宋" w:eastAsia="仿宋"/>
                <w:kern w:val="0"/>
                <w:szCs w:val="21"/>
              </w:rPr>
              <w:t>7</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动植物油</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1833" w:type="dxa"/>
          </w:tcPr>
          <w:p>
            <w:pPr>
              <w:widowControl/>
              <w:jc w:val="center"/>
              <w:rPr>
                <w:rFonts w:ascii="仿宋" w:hAnsi="仿宋" w:eastAsia="仿宋"/>
                <w:kern w:val="0"/>
                <w:szCs w:val="21"/>
              </w:rPr>
            </w:pPr>
            <w:r>
              <w:rPr>
                <w:rFonts w:hint="eastAsia" w:ascii="仿宋" w:hAnsi="仿宋" w:eastAsia="仿宋"/>
                <w:kern w:val="0"/>
                <w:szCs w:val="21"/>
              </w:rPr>
              <w:t>5</w:t>
            </w:r>
          </w:p>
        </w:tc>
        <w:tc>
          <w:tcPr>
            <w:tcW w:w="1835"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22" w:type="dxa"/>
            <w:gridSpan w:val="6"/>
            <w:noWrap/>
            <w:vAlign w:val="center"/>
          </w:tcPr>
          <w:p>
            <w:pPr>
              <w:widowControl/>
              <w:rPr>
                <w:rFonts w:ascii="仿宋" w:hAnsi="仿宋" w:eastAsia="仿宋"/>
                <w:kern w:val="0"/>
                <w:szCs w:val="21"/>
              </w:rPr>
            </w:pPr>
            <w:r>
              <w:rPr>
                <w:rFonts w:hint="eastAsia" w:ascii="仿宋" w:hAnsi="仿宋" w:eastAsia="仿宋"/>
                <w:kern w:val="0"/>
                <w:szCs w:val="21"/>
              </w:rPr>
              <w:t>设计日处理能力＜5m³的农村生活污水处理设施不考虑总氨和总磷。</w:t>
            </w:r>
          </w:p>
          <w:p>
            <w:pPr>
              <w:widowControl/>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trPr>
        <w:tc>
          <w:tcPr>
            <w:tcW w:w="8522" w:type="dxa"/>
            <w:gridSpan w:val="6"/>
            <w:noWrap/>
            <w:vAlign w:val="center"/>
          </w:tcPr>
          <w:p>
            <w:pPr>
              <w:widowControl/>
              <w:rPr>
                <w:rFonts w:ascii="仿宋" w:hAnsi="仿宋" w:eastAsia="仿宋" w:cs="Times New Roman"/>
                <w:kern w:val="0"/>
                <w:szCs w:val="21"/>
              </w:rPr>
            </w:pPr>
            <w:r>
              <w:rPr>
                <w:rFonts w:hint="eastAsia" w:ascii="仿宋" w:hAnsi="仿宋" w:eastAsia="仿宋" w:cs="Times New Roman"/>
                <w:kern w:val="0"/>
                <w:szCs w:val="21"/>
              </w:rPr>
              <w:t>a括号外数值为水温＞12℃时的排放限值，括号内数值为水温≤12℃时的排放限值</w:t>
            </w:r>
          </w:p>
          <w:p>
            <w:pPr>
              <w:widowControl/>
              <w:rPr>
                <w:rFonts w:ascii="仿宋" w:hAnsi="仿宋" w:eastAsia="仿宋" w:cs="Times New Roman"/>
                <w:kern w:val="0"/>
                <w:szCs w:val="21"/>
              </w:rPr>
            </w:pPr>
            <w:r>
              <w:rPr>
                <w:rFonts w:hint="eastAsia" w:ascii="仿宋" w:hAnsi="仿宋" w:eastAsia="仿宋" w:cs="Times New Roman"/>
                <w:kern w:val="0"/>
                <w:szCs w:val="21"/>
              </w:rPr>
              <w:t>b针对排放对象为封闭、半封闭水体（含湖库、池塘、端头滨）或超标因子为氯的不达标水体。</w:t>
            </w:r>
          </w:p>
          <w:p>
            <w:pPr>
              <w:widowControl/>
              <w:rPr>
                <w:rFonts w:ascii="仿宋" w:hAnsi="仿宋" w:eastAsia="仿宋" w:cs="Times New Roman"/>
                <w:kern w:val="0"/>
                <w:szCs w:val="21"/>
              </w:rPr>
            </w:pPr>
            <w:r>
              <w:rPr>
                <w:rFonts w:hint="eastAsia" w:ascii="仿宋" w:hAnsi="仿宋" w:eastAsia="仿宋" w:cs="Times New Roman"/>
                <w:kern w:val="0"/>
                <w:szCs w:val="21"/>
              </w:rPr>
              <w:t>c针对排放对象为封闭、半封闭水体（含湖库、池塘、端头滨）或超标因子为磷的不达标水体。</w:t>
            </w:r>
          </w:p>
          <w:p>
            <w:pPr>
              <w:widowControl/>
              <w:rPr>
                <w:rFonts w:ascii="仿宋" w:hAnsi="仿宋" w:eastAsia="仿宋" w:cs="Times New Roman"/>
                <w:kern w:val="0"/>
                <w:szCs w:val="21"/>
              </w:rPr>
            </w:pPr>
            <w:r>
              <w:rPr>
                <w:rFonts w:hint="eastAsia" w:ascii="仿宋" w:hAnsi="仿宋" w:eastAsia="仿宋" w:cs="Times New Roman"/>
                <w:kern w:val="0"/>
                <w:szCs w:val="21"/>
              </w:rPr>
              <w:t>d针对接纳餐饮废水的农村生活污水处理设施。</w:t>
            </w:r>
          </w:p>
          <w:p>
            <w:pPr>
              <w:pStyle w:val="53"/>
              <w:rPr>
                <w:rFonts w:ascii="仿宋" w:hAnsi="仿宋" w:eastAsia="仿宋"/>
                <w:szCs w:val="21"/>
              </w:rPr>
            </w:pPr>
          </w:p>
        </w:tc>
      </w:tr>
    </w:tbl>
    <w:p>
      <w:pPr>
        <w:spacing w:beforeLines="0" w:afterLines="0" w:line="240" w:lineRule="auto"/>
        <w:rPr>
          <w:rFonts w:hint="default"/>
          <w:color w:val="auto"/>
          <w:lang w:val="en-US" w:eastAsia="zh-CN"/>
        </w:rPr>
      </w:pPr>
    </w:p>
    <w:sectPr>
      <w:footerReference r:id="rId7" w:type="first"/>
      <w:headerReference r:id="rId5" w:type="default"/>
      <w:footerReference r:id="rId6" w:type="default"/>
      <w:pgSz w:w="11906" w:h="16838"/>
      <w:pgMar w:top="1440" w:right="1800" w:bottom="1440" w:left="1800"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4CDF1"/>
    <w:multiLevelType w:val="singleLevel"/>
    <w:tmpl w:val="97E4CDF1"/>
    <w:lvl w:ilvl="0" w:tentative="0">
      <w:start w:val="1"/>
      <w:numFmt w:val="decimal"/>
      <w:suff w:val="nothing"/>
      <w:lvlText w:val="（%1）"/>
      <w:lvlJc w:val="left"/>
    </w:lvl>
  </w:abstractNum>
  <w:abstractNum w:abstractNumId="1">
    <w:nsid w:val="99C04FB6"/>
    <w:multiLevelType w:val="singleLevel"/>
    <w:tmpl w:val="99C04FB6"/>
    <w:lvl w:ilvl="0" w:tentative="0">
      <w:start w:val="1"/>
      <w:numFmt w:val="decimal"/>
      <w:lvlText w:val="(%1)"/>
      <w:lvlJc w:val="left"/>
      <w:pPr>
        <w:ind w:left="425" w:hanging="425"/>
      </w:pPr>
      <w:rPr>
        <w:rFonts w:hint="default"/>
      </w:rPr>
    </w:lvl>
  </w:abstractNum>
  <w:abstractNum w:abstractNumId="2">
    <w:nsid w:val="BCBB1356"/>
    <w:multiLevelType w:val="singleLevel"/>
    <w:tmpl w:val="BCBB1356"/>
    <w:lvl w:ilvl="0" w:tentative="0">
      <w:start w:val="1"/>
      <w:numFmt w:val="decimal"/>
      <w:lvlText w:val="%1."/>
      <w:lvlJc w:val="left"/>
      <w:pPr>
        <w:ind w:left="425" w:hanging="425"/>
      </w:pPr>
      <w:rPr>
        <w:rFonts w:hint="default"/>
      </w:rPr>
    </w:lvl>
  </w:abstractNum>
  <w:abstractNum w:abstractNumId="3">
    <w:nsid w:val="1D15DB64"/>
    <w:multiLevelType w:val="singleLevel"/>
    <w:tmpl w:val="1D15DB64"/>
    <w:lvl w:ilvl="0" w:tentative="0">
      <w:start w:val="3"/>
      <w:numFmt w:val="decimal"/>
      <w:suff w:val="nothing"/>
      <w:lvlText w:val="（%1）"/>
      <w:lvlJc w:val="left"/>
    </w:lvl>
  </w:abstractNum>
  <w:abstractNum w:abstractNumId="4">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5">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6">
    <w:nsid w:val="6ED0B6A4"/>
    <w:multiLevelType w:val="singleLevel"/>
    <w:tmpl w:val="6ED0B6A4"/>
    <w:lvl w:ilvl="0" w:tentative="0">
      <w:start w:val="5"/>
      <w:numFmt w:val="decimal"/>
      <w:suff w:val="nothing"/>
      <w:lvlText w:val="%1、"/>
      <w:lvlJc w:val="left"/>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Tc3ZWFjNmU5ZWY4NGNkNjRhMWFjZTYwZTEwZTJhODY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CC715B"/>
    <w:rsid w:val="01D134FA"/>
    <w:rsid w:val="021B4775"/>
    <w:rsid w:val="023F0464"/>
    <w:rsid w:val="024D3076"/>
    <w:rsid w:val="025263E9"/>
    <w:rsid w:val="02783976"/>
    <w:rsid w:val="027F6AB2"/>
    <w:rsid w:val="02873BB9"/>
    <w:rsid w:val="02B32C00"/>
    <w:rsid w:val="02DC5CB3"/>
    <w:rsid w:val="02E37041"/>
    <w:rsid w:val="02EB05EB"/>
    <w:rsid w:val="032558AB"/>
    <w:rsid w:val="036F2FCB"/>
    <w:rsid w:val="03A32C74"/>
    <w:rsid w:val="03C36E72"/>
    <w:rsid w:val="03C74BB5"/>
    <w:rsid w:val="03E868D9"/>
    <w:rsid w:val="03EE3EEF"/>
    <w:rsid w:val="042F0B9E"/>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471E20"/>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6C2809"/>
    <w:rsid w:val="0B7B7B74"/>
    <w:rsid w:val="0B7C0033"/>
    <w:rsid w:val="0B8E7D66"/>
    <w:rsid w:val="0BF95725"/>
    <w:rsid w:val="0C2D3A23"/>
    <w:rsid w:val="0C32079B"/>
    <w:rsid w:val="0C324B95"/>
    <w:rsid w:val="0C3B6140"/>
    <w:rsid w:val="0C476893"/>
    <w:rsid w:val="0C7852C6"/>
    <w:rsid w:val="0C833643"/>
    <w:rsid w:val="0C8D14A1"/>
    <w:rsid w:val="0C9475FE"/>
    <w:rsid w:val="0CA548B4"/>
    <w:rsid w:val="0CC223BD"/>
    <w:rsid w:val="0CC60476"/>
    <w:rsid w:val="0CF4009D"/>
    <w:rsid w:val="0CF54ADA"/>
    <w:rsid w:val="0D065FC8"/>
    <w:rsid w:val="0D186481"/>
    <w:rsid w:val="0D49663A"/>
    <w:rsid w:val="0D5C4AE8"/>
    <w:rsid w:val="0D75742F"/>
    <w:rsid w:val="0D817B82"/>
    <w:rsid w:val="0D8E229F"/>
    <w:rsid w:val="0D971E4A"/>
    <w:rsid w:val="0DB241E0"/>
    <w:rsid w:val="0DBA7538"/>
    <w:rsid w:val="0DEC6ABA"/>
    <w:rsid w:val="0E1B004D"/>
    <w:rsid w:val="0E1B7FD7"/>
    <w:rsid w:val="0E4D5CB6"/>
    <w:rsid w:val="0E5B6E42"/>
    <w:rsid w:val="0E807E3A"/>
    <w:rsid w:val="0E820056"/>
    <w:rsid w:val="0E8C4A31"/>
    <w:rsid w:val="0E9A4A35"/>
    <w:rsid w:val="0EB9159E"/>
    <w:rsid w:val="0ECF2B6F"/>
    <w:rsid w:val="0EF86D3D"/>
    <w:rsid w:val="0EF967CB"/>
    <w:rsid w:val="0F0547E3"/>
    <w:rsid w:val="0F1A64E0"/>
    <w:rsid w:val="0F233D22"/>
    <w:rsid w:val="0F2F1860"/>
    <w:rsid w:val="0F467260"/>
    <w:rsid w:val="0F5372FC"/>
    <w:rsid w:val="0F7756E1"/>
    <w:rsid w:val="0FA53526"/>
    <w:rsid w:val="0FB57FB7"/>
    <w:rsid w:val="0FF3288D"/>
    <w:rsid w:val="101D790A"/>
    <w:rsid w:val="1054157E"/>
    <w:rsid w:val="107439CE"/>
    <w:rsid w:val="10C36704"/>
    <w:rsid w:val="10CB7366"/>
    <w:rsid w:val="1102722C"/>
    <w:rsid w:val="11050ACA"/>
    <w:rsid w:val="11641C95"/>
    <w:rsid w:val="11731370"/>
    <w:rsid w:val="1173563E"/>
    <w:rsid w:val="11F03528"/>
    <w:rsid w:val="120C57CA"/>
    <w:rsid w:val="123F625E"/>
    <w:rsid w:val="12745F08"/>
    <w:rsid w:val="128824FC"/>
    <w:rsid w:val="12896DF2"/>
    <w:rsid w:val="12A64890"/>
    <w:rsid w:val="12C10A21"/>
    <w:rsid w:val="12C624DB"/>
    <w:rsid w:val="12CF0872"/>
    <w:rsid w:val="12EF558E"/>
    <w:rsid w:val="12F2507E"/>
    <w:rsid w:val="13021765"/>
    <w:rsid w:val="13103CCD"/>
    <w:rsid w:val="13274D28"/>
    <w:rsid w:val="13930B3F"/>
    <w:rsid w:val="13BB725D"/>
    <w:rsid w:val="13F15336"/>
    <w:rsid w:val="140D6614"/>
    <w:rsid w:val="141F1EA3"/>
    <w:rsid w:val="142A6886"/>
    <w:rsid w:val="14425B91"/>
    <w:rsid w:val="144F072D"/>
    <w:rsid w:val="14587163"/>
    <w:rsid w:val="147541B9"/>
    <w:rsid w:val="14AA20B4"/>
    <w:rsid w:val="14B2081F"/>
    <w:rsid w:val="14C111AC"/>
    <w:rsid w:val="14C47A72"/>
    <w:rsid w:val="151632A6"/>
    <w:rsid w:val="152738F7"/>
    <w:rsid w:val="15282FD9"/>
    <w:rsid w:val="153E27FD"/>
    <w:rsid w:val="154850F3"/>
    <w:rsid w:val="154871D8"/>
    <w:rsid w:val="155E69FB"/>
    <w:rsid w:val="15EC2259"/>
    <w:rsid w:val="15F555B1"/>
    <w:rsid w:val="15F9724C"/>
    <w:rsid w:val="16227A29"/>
    <w:rsid w:val="164B3423"/>
    <w:rsid w:val="165F2147"/>
    <w:rsid w:val="166C6737"/>
    <w:rsid w:val="167209B0"/>
    <w:rsid w:val="16827936"/>
    <w:rsid w:val="168E1562"/>
    <w:rsid w:val="16C93787"/>
    <w:rsid w:val="16DA7C8A"/>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1A5CFE"/>
    <w:rsid w:val="1A372CFF"/>
    <w:rsid w:val="1A585552"/>
    <w:rsid w:val="1A646862"/>
    <w:rsid w:val="1A8011C2"/>
    <w:rsid w:val="1A9C249F"/>
    <w:rsid w:val="1AA42C09"/>
    <w:rsid w:val="1AB3111B"/>
    <w:rsid w:val="1AB85D88"/>
    <w:rsid w:val="1ADF413A"/>
    <w:rsid w:val="1AF776D6"/>
    <w:rsid w:val="1B1D6C32"/>
    <w:rsid w:val="1B2D1349"/>
    <w:rsid w:val="1B4A7AAB"/>
    <w:rsid w:val="1BC577D4"/>
    <w:rsid w:val="1BD9534F"/>
    <w:rsid w:val="1C0A51E7"/>
    <w:rsid w:val="1C134850"/>
    <w:rsid w:val="1C533032"/>
    <w:rsid w:val="1C5A43C0"/>
    <w:rsid w:val="1C8A6328"/>
    <w:rsid w:val="1CBA4E5F"/>
    <w:rsid w:val="1CC17F9B"/>
    <w:rsid w:val="1CC7132A"/>
    <w:rsid w:val="1CC932F4"/>
    <w:rsid w:val="1CE77D13"/>
    <w:rsid w:val="1CF739BD"/>
    <w:rsid w:val="1D862F93"/>
    <w:rsid w:val="1DC53ABB"/>
    <w:rsid w:val="1DC75A85"/>
    <w:rsid w:val="1DE2466D"/>
    <w:rsid w:val="1E195BB5"/>
    <w:rsid w:val="1E197963"/>
    <w:rsid w:val="1E2B1249"/>
    <w:rsid w:val="1E4470D6"/>
    <w:rsid w:val="1E4A5D6E"/>
    <w:rsid w:val="1E4D5058"/>
    <w:rsid w:val="1E7D7EF2"/>
    <w:rsid w:val="1E7E3DC6"/>
    <w:rsid w:val="1E802E42"/>
    <w:rsid w:val="1E8A0861"/>
    <w:rsid w:val="1E8F4AF1"/>
    <w:rsid w:val="1EB414E9"/>
    <w:rsid w:val="1EE61F3B"/>
    <w:rsid w:val="1EE93A34"/>
    <w:rsid w:val="1F0B7BF4"/>
    <w:rsid w:val="1F1365CD"/>
    <w:rsid w:val="1F2C545F"/>
    <w:rsid w:val="1F41572B"/>
    <w:rsid w:val="1F422EEA"/>
    <w:rsid w:val="1F444EB4"/>
    <w:rsid w:val="1F4C3ABD"/>
    <w:rsid w:val="1F550E6F"/>
    <w:rsid w:val="1F8D23B7"/>
    <w:rsid w:val="1FA871F0"/>
    <w:rsid w:val="1FB45B95"/>
    <w:rsid w:val="1FBA1230"/>
    <w:rsid w:val="202B281E"/>
    <w:rsid w:val="203C115D"/>
    <w:rsid w:val="205F190F"/>
    <w:rsid w:val="20696D4F"/>
    <w:rsid w:val="20801F1B"/>
    <w:rsid w:val="208337BA"/>
    <w:rsid w:val="20A844E0"/>
    <w:rsid w:val="20B41BC5"/>
    <w:rsid w:val="20F03667"/>
    <w:rsid w:val="20F85F56"/>
    <w:rsid w:val="2116462E"/>
    <w:rsid w:val="21244F9D"/>
    <w:rsid w:val="213B5E42"/>
    <w:rsid w:val="215E494E"/>
    <w:rsid w:val="217F6E19"/>
    <w:rsid w:val="219954B9"/>
    <w:rsid w:val="21DB1B4E"/>
    <w:rsid w:val="22196184"/>
    <w:rsid w:val="22364F87"/>
    <w:rsid w:val="224534CB"/>
    <w:rsid w:val="229E2B43"/>
    <w:rsid w:val="22AC64ED"/>
    <w:rsid w:val="22BA3DC5"/>
    <w:rsid w:val="22BD2FB3"/>
    <w:rsid w:val="23007343"/>
    <w:rsid w:val="23403BE4"/>
    <w:rsid w:val="23517B9F"/>
    <w:rsid w:val="237A70F6"/>
    <w:rsid w:val="237B69CA"/>
    <w:rsid w:val="238E0DF3"/>
    <w:rsid w:val="23BA3996"/>
    <w:rsid w:val="241430A6"/>
    <w:rsid w:val="24255C79"/>
    <w:rsid w:val="24480FA2"/>
    <w:rsid w:val="24743B45"/>
    <w:rsid w:val="24A85EE5"/>
    <w:rsid w:val="24B46637"/>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415FDE"/>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33171"/>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1B14D5"/>
    <w:rsid w:val="2E2C723F"/>
    <w:rsid w:val="2E3600BD"/>
    <w:rsid w:val="2E77173F"/>
    <w:rsid w:val="2EAC3D49"/>
    <w:rsid w:val="2EC441E4"/>
    <w:rsid w:val="2ECB4CA9"/>
    <w:rsid w:val="2F436F36"/>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433BF"/>
    <w:rsid w:val="348576A9"/>
    <w:rsid w:val="34C93A39"/>
    <w:rsid w:val="34E44989"/>
    <w:rsid w:val="3509652C"/>
    <w:rsid w:val="350F4BD6"/>
    <w:rsid w:val="35373099"/>
    <w:rsid w:val="353F3CFB"/>
    <w:rsid w:val="354B1430"/>
    <w:rsid w:val="354B1C9B"/>
    <w:rsid w:val="355A28E3"/>
    <w:rsid w:val="3578720D"/>
    <w:rsid w:val="35A44863"/>
    <w:rsid w:val="35AD5109"/>
    <w:rsid w:val="35EB5C31"/>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5467D3"/>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890521"/>
    <w:rsid w:val="40AB0497"/>
    <w:rsid w:val="40F736DC"/>
    <w:rsid w:val="40FB141E"/>
    <w:rsid w:val="41045888"/>
    <w:rsid w:val="41116068"/>
    <w:rsid w:val="4115478B"/>
    <w:rsid w:val="41165409"/>
    <w:rsid w:val="41354204"/>
    <w:rsid w:val="41413350"/>
    <w:rsid w:val="417E3DFD"/>
    <w:rsid w:val="41A25D3E"/>
    <w:rsid w:val="41A52AC1"/>
    <w:rsid w:val="41AF3FB7"/>
    <w:rsid w:val="41D103D1"/>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69458C"/>
    <w:rsid w:val="447A4D50"/>
    <w:rsid w:val="44A0019F"/>
    <w:rsid w:val="44AE0556"/>
    <w:rsid w:val="44EE4045"/>
    <w:rsid w:val="45592BB7"/>
    <w:rsid w:val="459040FF"/>
    <w:rsid w:val="45980A14"/>
    <w:rsid w:val="45B7168C"/>
    <w:rsid w:val="45E83F3B"/>
    <w:rsid w:val="45F8417E"/>
    <w:rsid w:val="46496788"/>
    <w:rsid w:val="464F5D68"/>
    <w:rsid w:val="467A787E"/>
    <w:rsid w:val="46862B6D"/>
    <w:rsid w:val="46963997"/>
    <w:rsid w:val="469731B7"/>
    <w:rsid w:val="469D6AD4"/>
    <w:rsid w:val="46BA7686"/>
    <w:rsid w:val="46C16C66"/>
    <w:rsid w:val="47354F5E"/>
    <w:rsid w:val="474E019A"/>
    <w:rsid w:val="47AC2433"/>
    <w:rsid w:val="47B440D5"/>
    <w:rsid w:val="47E10C42"/>
    <w:rsid w:val="47ED75E7"/>
    <w:rsid w:val="47F6649C"/>
    <w:rsid w:val="47FB7F56"/>
    <w:rsid w:val="48272AF9"/>
    <w:rsid w:val="483A5325"/>
    <w:rsid w:val="48C447EC"/>
    <w:rsid w:val="4913525A"/>
    <w:rsid w:val="49331971"/>
    <w:rsid w:val="49635DB3"/>
    <w:rsid w:val="496B4C67"/>
    <w:rsid w:val="49820694"/>
    <w:rsid w:val="49900B72"/>
    <w:rsid w:val="499457D7"/>
    <w:rsid w:val="499C3073"/>
    <w:rsid w:val="49A45160"/>
    <w:rsid w:val="49E97B05"/>
    <w:rsid w:val="4A0D5ACB"/>
    <w:rsid w:val="4A175919"/>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975D73"/>
    <w:rsid w:val="4CBC7B7E"/>
    <w:rsid w:val="4CFC13DA"/>
    <w:rsid w:val="4D3637DE"/>
    <w:rsid w:val="4D5D520F"/>
    <w:rsid w:val="4D73058E"/>
    <w:rsid w:val="4D7E765F"/>
    <w:rsid w:val="4D914929"/>
    <w:rsid w:val="4D950505"/>
    <w:rsid w:val="4DCC5922"/>
    <w:rsid w:val="4DE21AEF"/>
    <w:rsid w:val="4E0B4C6B"/>
    <w:rsid w:val="4E365D10"/>
    <w:rsid w:val="4E691F14"/>
    <w:rsid w:val="4E8D38D2"/>
    <w:rsid w:val="4EC07B5F"/>
    <w:rsid w:val="4F0F72B8"/>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580A4C"/>
    <w:rsid w:val="51864D34"/>
    <w:rsid w:val="5196484B"/>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3F2387"/>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2E21D2"/>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0E03D35"/>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6FD29E7"/>
    <w:rsid w:val="670267B3"/>
    <w:rsid w:val="670B41E6"/>
    <w:rsid w:val="673646AF"/>
    <w:rsid w:val="67780823"/>
    <w:rsid w:val="67874F93"/>
    <w:rsid w:val="67A930D3"/>
    <w:rsid w:val="67B537CF"/>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9EE2CCA"/>
    <w:rsid w:val="6A024D1C"/>
    <w:rsid w:val="6A0B6FCE"/>
    <w:rsid w:val="6A1F142A"/>
    <w:rsid w:val="6A2B6021"/>
    <w:rsid w:val="6A4D243B"/>
    <w:rsid w:val="6A841BD5"/>
    <w:rsid w:val="6A910032"/>
    <w:rsid w:val="6A9A31A7"/>
    <w:rsid w:val="6A9E67F3"/>
    <w:rsid w:val="6ACE4BFE"/>
    <w:rsid w:val="6AFC79BD"/>
    <w:rsid w:val="6B286A04"/>
    <w:rsid w:val="6B2D7B77"/>
    <w:rsid w:val="6B350631"/>
    <w:rsid w:val="6B655563"/>
    <w:rsid w:val="6B7E4876"/>
    <w:rsid w:val="6B8579B3"/>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60BEB"/>
    <w:rsid w:val="6D1E1E6D"/>
    <w:rsid w:val="6D2679FE"/>
    <w:rsid w:val="6D3671B7"/>
    <w:rsid w:val="6D3F3B91"/>
    <w:rsid w:val="6D54763D"/>
    <w:rsid w:val="6D57712D"/>
    <w:rsid w:val="6D633D24"/>
    <w:rsid w:val="6D65499E"/>
    <w:rsid w:val="6D7A5449"/>
    <w:rsid w:val="6D857FA1"/>
    <w:rsid w:val="6D8C12B0"/>
    <w:rsid w:val="6DC01176"/>
    <w:rsid w:val="6DD020E1"/>
    <w:rsid w:val="6E25722B"/>
    <w:rsid w:val="6E2D38D3"/>
    <w:rsid w:val="6E2E7ECC"/>
    <w:rsid w:val="6E810905"/>
    <w:rsid w:val="6E9028F6"/>
    <w:rsid w:val="6EB31523"/>
    <w:rsid w:val="6EE83DD3"/>
    <w:rsid w:val="6F3E2352"/>
    <w:rsid w:val="6F4A6F49"/>
    <w:rsid w:val="6F650EA9"/>
    <w:rsid w:val="6F6618A9"/>
    <w:rsid w:val="6F79782E"/>
    <w:rsid w:val="6FE23626"/>
    <w:rsid w:val="6FED3D79"/>
    <w:rsid w:val="6FEE1FCA"/>
    <w:rsid w:val="70276AA6"/>
    <w:rsid w:val="70441BEA"/>
    <w:rsid w:val="704B11CB"/>
    <w:rsid w:val="704F058F"/>
    <w:rsid w:val="70652B92"/>
    <w:rsid w:val="70A72F4B"/>
    <w:rsid w:val="70B36D70"/>
    <w:rsid w:val="70B76ACD"/>
    <w:rsid w:val="70BD7BEF"/>
    <w:rsid w:val="70C26FB3"/>
    <w:rsid w:val="70E94540"/>
    <w:rsid w:val="71175551"/>
    <w:rsid w:val="71257C6E"/>
    <w:rsid w:val="712F1B94"/>
    <w:rsid w:val="71341C5F"/>
    <w:rsid w:val="714F4CEB"/>
    <w:rsid w:val="717901E3"/>
    <w:rsid w:val="719255E3"/>
    <w:rsid w:val="719501D4"/>
    <w:rsid w:val="71AD1A11"/>
    <w:rsid w:val="71BB412E"/>
    <w:rsid w:val="71BE59CD"/>
    <w:rsid w:val="71CD5C10"/>
    <w:rsid w:val="71D40D4C"/>
    <w:rsid w:val="71D46F9E"/>
    <w:rsid w:val="71D945B4"/>
    <w:rsid w:val="71E33685"/>
    <w:rsid w:val="71E847F7"/>
    <w:rsid w:val="71F15DA2"/>
    <w:rsid w:val="720158B9"/>
    <w:rsid w:val="720930EC"/>
    <w:rsid w:val="727861B3"/>
    <w:rsid w:val="72B50B7E"/>
    <w:rsid w:val="73010267"/>
    <w:rsid w:val="733777E5"/>
    <w:rsid w:val="73504D4A"/>
    <w:rsid w:val="7364555D"/>
    <w:rsid w:val="73AF7CC3"/>
    <w:rsid w:val="73B02A4C"/>
    <w:rsid w:val="73D03795"/>
    <w:rsid w:val="73D239B1"/>
    <w:rsid w:val="73E57241"/>
    <w:rsid w:val="741475A5"/>
    <w:rsid w:val="741D19A8"/>
    <w:rsid w:val="74732A9E"/>
    <w:rsid w:val="74784559"/>
    <w:rsid w:val="74793E2D"/>
    <w:rsid w:val="74822CE1"/>
    <w:rsid w:val="749A44CF"/>
    <w:rsid w:val="74A25132"/>
    <w:rsid w:val="74A7099A"/>
    <w:rsid w:val="74BC310C"/>
    <w:rsid w:val="74D87DDE"/>
    <w:rsid w:val="74E05C5A"/>
    <w:rsid w:val="753945F3"/>
    <w:rsid w:val="75911025"/>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A31478"/>
    <w:rsid w:val="78C87131"/>
    <w:rsid w:val="790740FD"/>
    <w:rsid w:val="791800B8"/>
    <w:rsid w:val="791E13DA"/>
    <w:rsid w:val="792A33F3"/>
    <w:rsid w:val="792B7DEB"/>
    <w:rsid w:val="7940316B"/>
    <w:rsid w:val="796725C8"/>
    <w:rsid w:val="79697F41"/>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607AF4"/>
    <w:rsid w:val="7B75534E"/>
    <w:rsid w:val="7BDC717B"/>
    <w:rsid w:val="7BF87D2D"/>
    <w:rsid w:val="7C1E59E5"/>
    <w:rsid w:val="7C2C7C29"/>
    <w:rsid w:val="7C572CA5"/>
    <w:rsid w:val="7C72188D"/>
    <w:rsid w:val="7CB1685A"/>
    <w:rsid w:val="7CD71D26"/>
    <w:rsid w:val="7CEF2EDE"/>
    <w:rsid w:val="7D1666BD"/>
    <w:rsid w:val="7D1E37C3"/>
    <w:rsid w:val="7D276B1C"/>
    <w:rsid w:val="7D4D2CED"/>
    <w:rsid w:val="7D5435DA"/>
    <w:rsid w:val="7D821FA4"/>
    <w:rsid w:val="7DCE6F97"/>
    <w:rsid w:val="7DD547CA"/>
    <w:rsid w:val="7DEF03E9"/>
    <w:rsid w:val="7E026C41"/>
    <w:rsid w:val="7E1A042F"/>
    <w:rsid w:val="7E1D3A7B"/>
    <w:rsid w:val="7E4C3F17"/>
    <w:rsid w:val="7E4E7A67"/>
    <w:rsid w:val="7E5A6A7D"/>
    <w:rsid w:val="7EB22415"/>
    <w:rsid w:val="7EC61EAD"/>
    <w:rsid w:val="7ED26CAC"/>
    <w:rsid w:val="7ED30525"/>
    <w:rsid w:val="7EDE320A"/>
    <w:rsid w:val="7EF70770"/>
    <w:rsid w:val="7F094C4D"/>
    <w:rsid w:val="7F182BC0"/>
    <w:rsid w:val="7F294554"/>
    <w:rsid w:val="7F370B6C"/>
    <w:rsid w:val="7F613B41"/>
    <w:rsid w:val="7F6C6A68"/>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2"/>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7"/>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3">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99"/>
    <w:rPr>
      <w:sz w:val="18"/>
      <w:szCs w:val="18"/>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Verdana" w:hAnsi="Verdana"/>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unhideWhenUsed/>
    <w:qFormat/>
    <w:uiPriority w:val="99"/>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99"/>
    <w:pPr>
      <w:spacing w:line="360" w:lineRule="auto"/>
      <w:ind w:firstLine="480" w:firstLineChars="200"/>
      <w:jc w:val="left"/>
    </w:pPr>
    <w:rPr>
      <w:rFonts w:hAnsi="宋体"/>
      <w:sz w:val="24"/>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39"/>
    <w:rPr>
      <w:b/>
    </w:rPr>
  </w:style>
  <w:style w:type="paragraph" w:styleId="19">
    <w:name w:val="toc 2"/>
    <w:basedOn w:val="1"/>
    <w:next w:val="1"/>
    <w:qFormat/>
    <w:uiPriority w:val="0"/>
    <w:pPr>
      <w:ind w:left="420" w:leftChars="200"/>
    </w:pPr>
  </w:style>
  <w:style w:type="paragraph" w:styleId="20">
    <w:name w:val="Body Text 2"/>
    <w:basedOn w:val="1"/>
    <w:qFormat/>
    <w:uiPriority w:val="99"/>
    <w:rPr>
      <w:sz w:val="28"/>
    </w:rPr>
  </w:style>
  <w:style w:type="paragraph" w:styleId="21">
    <w:name w:val="Normal (Web)"/>
    <w:basedOn w:val="1"/>
    <w:unhideWhenUsed/>
    <w:qFormat/>
    <w:uiPriority w:val="1"/>
    <w:pPr>
      <w:spacing w:before="0" w:beforeAutospacing="0" w:after="210" w:afterAutospacing="0"/>
      <w:ind w:left="0" w:right="0"/>
      <w:jc w:val="left"/>
    </w:pPr>
    <w:rPr>
      <w:kern w:val="0"/>
      <w:sz w:val="24"/>
      <w:lang w:val="en-US" w:eastAsia="zh-CN" w:bidi="ar"/>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Emphasis"/>
    <w:basedOn w:val="25"/>
    <w:qFormat/>
    <w:uiPriority w:val="20"/>
    <w:rPr>
      <w:i/>
      <w:iCs/>
    </w:rPr>
  </w:style>
  <w:style w:type="character" w:styleId="28">
    <w:name w:val="Hyperlink"/>
    <w:unhideWhenUsed/>
    <w:qFormat/>
    <w:uiPriority w:val="99"/>
    <w:rPr>
      <w:rFonts w:ascii="宋体" w:hAnsi="宋体" w:eastAsia="宋体"/>
      <w:color w:val="0563C1"/>
      <w:sz w:val="24"/>
      <w:u w:val="single"/>
    </w:rPr>
  </w:style>
  <w:style w:type="character" w:styleId="29">
    <w:name w:val="annotation reference"/>
    <w:basedOn w:val="25"/>
    <w:unhideWhenUsed/>
    <w:qFormat/>
    <w:uiPriority w:val="99"/>
    <w:rPr>
      <w:sz w:val="21"/>
      <w:szCs w:val="21"/>
    </w:rPr>
  </w:style>
  <w:style w:type="paragraph" w:customStyle="1" w:styleId="30">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1">
    <w:name w:val="表格文字"/>
    <w:basedOn w:val="1"/>
    <w:next w:val="9"/>
    <w:qFormat/>
    <w:uiPriority w:val="0"/>
    <w:pPr>
      <w:adjustRightInd w:val="0"/>
      <w:spacing w:line="420" w:lineRule="atLeast"/>
      <w:jc w:val="left"/>
      <w:textAlignment w:val="baseline"/>
    </w:pPr>
    <w:rPr>
      <w:kern w:val="0"/>
    </w:rPr>
  </w:style>
  <w:style w:type="character" w:customStyle="1" w:styleId="32">
    <w:name w:val="标题 1 字符"/>
    <w:link w:val="3"/>
    <w:qFormat/>
    <w:uiPriority w:val="0"/>
    <w:rPr>
      <w:rFonts w:ascii="黑体" w:hAnsi="黑体" w:eastAsia="宋体" w:cs="黑体"/>
      <w:b/>
      <w:color w:val="000000"/>
      <w:sz w:val="24"/>
      <w:szCs w:val="22"/>
    </w:rPr>
  </w:style>
  <w:style w:type="character" w:customStyle="1" w:styleId="33">
    <w:name w:val="Heading #1|1_"/>
    <w:basedOn w:val="25"/>
    <w:link w:val="34"/>
    <w:qFormat/>
    <w:uiPriority w:val="0"/>
    <w:rPr>
      <w:rFonts w:ascii="宋体" w:hAnsi="宋体" w:eastAsia="宋体" w:cs="宋体"/>
      <w:sz w:val="28"/>
      <w:szCs w:val="28"/>
      <w:u w:val="none"/>
      <w:shd w:val="clear" w:color="auto" w:fill="auto"/>
      <w:lang w:val="zh-TW" w:eastAsia="zh-TW" w:bidi="zh-TW"/>
    </w:rPr>
  </w:style>
  <w:style w:type="paragraph" w:customStyle="1" w:styleId="34">
    <w:name w:val="Heading #1|1"/>
    <w:basedOn w:val="1"/>
    <w:link w:val="33"/>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5">
    <w:name w:val="Body text|1_"/>
    <w:basedOn w:val="25"/>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7">
    <w:name w:val="Heading #2|1_"/>
    <w:basedOn w:val="25"/>
    <w:link w:val="38"/>
    <w:qFormat/>
    <w:uiPriority w:val="0"/>
    <w:rPr>
      <w:rFonts w:ascii="宋体" w:hAnsi="宋体" w:eastAsia="宋体" w:cs="宋体"/>
      <w:u w:val="none"/>
      <w:shd w:val="clear" w:color="auto" w:fill="auto"/>
      <w:lang w:val="zh-TW" w:eastAsia="zh-TW" w:bidi="zh-TW"/>
    </w:rPr>
  </w:style>
  <w:style w:type="paragraph" w:customStyle="1" w:styleId="38">
    <w:name w:val="Heading #2|1"/>
    <w:basedOn w:val="1"/>
    <w:link w:val="37"/>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9">
    <w:name w:val="Other|1_"/>
    <w:basedOn w:val="25"/>
    <w:link w:val="40"/>
    <w:qFormat/>
    <w:uiPriority w:val="0"/>
    <w:rPr>
      <w:rFonts w:ascii="宋体" w:hAnsi="宋体" w:eastAsia="宋体" w:cs="宋体"/>
      <w:sz w:val="20"/>
      <w:szCs w:val="20"/>
      <w:u w:val="none"/>
      <w:shd w:val="clear" w:color="auto" w:fill="auto"/>
      <w:lang w:val="zh-TW" w:eastAsia="zh-TW" w:bidi="zh-TW"/>
    </w:rPr>
  </w:style>
  <w:style w:type="paragraph" w:customStyle="1" w:styleId="40">
    <w:name w:val="Other|1"/>
    <w:basedOn w:val="1"/>
    <w:link w:val="39"/>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41">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2">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5">
    <w:name w:val="Table caption|1"/>
    <w:basedOn w:val="1"/>
    <w:qFormat/>
    <w:uiPriority w:val="0"/>
    <w:rPr>
      <w:rFonts w:ascii="宋体" w:hAnsi="宋体" w:eastAsia="宋体" w:cs="宋体"/>
      <w:sz w:val="22"/>
      <w:szCs w:val="22"/>
      <w:lang w:val="zh-TW" w:eastAsia="zh-TW" w:bidi="zh-TW"/>
    </w:rPr>
  </w:style>
  <w:style w:type="paragraph" w:styleId="46">
    <w:name w:val="List Paragraph"/>
    <w:basedOn w:val="1"/>
    <w:qFormat/>
    <w:uiPriority w:val="99"/>
    <w:pPr>
      <w:ind w:firstLine="420" w:firstLineChars="200"/>
    </w:pPr>
  </w:style>
  <w:style w:type="paragraph" w:customStyle="1" w:styleId="47">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8">
    <w:name w:val="文章正文"/>
    <w:basedOn w:val="1"/>
    <w:qFormat/>
    <w:uiPriority w:val="0"/>
    <w:pPr>
      <w:ind w:firstLine="200" w:firstLineChars="200"/>
    </w:pPr>
    <w:rPr>
      <w:szCs w:val="21"/>
    </w:rPr>
  </w:style>
  <w:style w:type="paragraph" w:customStyle="1" w:styleId="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51">
    <w:name w:val="列出段落1"/>
    <w:basedOn w:val="1"/>
    <w:qFormat/>
    <w:uiPriority w:val="34"/>
    <w:pPr>
      <w:ind w:firstLine="420" w:firstLineChars="200"/>
    </w:pPr>
  </w:style>
  <w:style w:type="paragraph" w:customStyle="1" w:styleId="52">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3">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4">
    <w:name w:val="font11"/>
    <w:basedOn w:val="25"/>
    <w:qFormat/>
    <w:uiPriority w:val="0"/>
    <w:rPr>
      <w:rFonts w:ascii="Arial" w:hAnsi="Arial" w:cs="Arial"/>
      <w:color w:val="000000"/>
      <w:sz w:val="20"/>
      <w:szCs w:val="20"/>
      <w:u w:val="none"/>
    </w:rPr>
  </w:style>
  <w:style w:type="character" w:customStyle="1" w:styleId="55">
    <w:name w:val="font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8089</Words>
  <Characters>8471</Characters>
  <TotalTime>47</TotalTime>
  <ScaleCrop>false</ScaleCrop>
  <LinksUpToDate>false</LinksUpToDate>
  <CharactersWithSpaces>8679</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张璟</cp:lastModifiedBy>
  <cp:lastPrinted>2023-06-20T02:34:00Z</cp:lastPrinted>
  <dcterms:modified xsi:type="dcterms:W3CDTF">2023-07-06T09:11:40Z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A457A6BC87D1451A9DC2265677B10BAC_13</vt:lpwstr>
  </property>
</Properties>
</file>