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</w:rPr>
        <w:t>福建省平潭及闽江口水资源配置（一闸三线）</w:t>
      </w:r>
      <w:r>
        <w:rPr>
          <w:rFonts w:hint="eastAsia" w:ascii="宋体" w:hAnsi="宋体" w:cs="宋体"/>
          <w:b/>
          <w:bCs/>
          <w:sz w:val="44"/>
          <w:szCs w:val="44"/>
          <w:u w:val="none"/>
          <w:lang w:eastAsia="zh-CN"/>
        </w:rPr>
        <w:t>工程</w:t>
      </w: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莒口运行维保与后勤物资采购项目</w:t>
      </w: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询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价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函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询价单位：福州水务平潭引水开发有限公司</w:t>
      </w:r>
    </w:p>
    <w:p>
      <w:pPr>
        <w:rPr>
          <w:rFonts w:hint="default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lang w:eastAsia="zh-CN"/>
        </w:rPr>
        <w:t>询价编号：</w:t>
      </w:r>
      <w:r>
        <w:rPr>
          <w:rFonts w:hint="eastAsia" w:ascii="微软雅黑" w:hAnsi="微软雅黑" w:eastAsia="微软雅黑"/>
          <w:sz w:val="28"/>
          <w:lang w:val="en-US" w:eastAsia="zh-CN"/>
        </w:rPr>
        <w:t>XJ-2023-17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联系电话：0591-87867621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联系地址：福建省福州市晋安区龙安路369号中辉大厦12层</w:t>
      </w:r>
    </w:p>
    <w:p>
      <w:pPr>
        <w:rPr>
          <w:rFonts w:ascii="微软雅黑" w:hAnsi="微软雅黑" w:eastAsia="微软雅黑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sz w:val="28"/>
        </w:rPr>
        <w:t>日期：20</w:t>
      </w:r>
      <w:r>
        <w:rPr>
          <w:rFonts w:hint="eastAsia" w:ascii="微软雅黑" w:hAnsi="微软雅黑" w:eastAsia="微软雅黑"/>
          <w:sz w:val="28"/>
          <w:lang w:val="en-US" w:eastAsia="zh-CN"/>
        </w:rPr>
        <w:t>23年7</w:t>
      </w:r>
      <w:r>
        <w:rPr>
          <w:rFonts w:hint="eastAsia" w:ascii="微软雅黑" w:hAnsi="微软雅黑" w:eastAsia="微软雅黑"/>
          <w:sz w:val="28"/>
        </w:rPr>
        <w:t>月</w:t>
      </w:r>
      <w:r>
        <w:rPr>
          <w:rFonts w:hint="eastAsia" w:ascii="微软雅黑" w:hAnsi="微软雅黑" w:eastAsia="微软雅黑"/>
          <w:sz w:val="28"/>
          <w:lang w:val="en-US" w:eastAsia="zh-CN"/>
        </w:rPr>
        <w:t>20</w:t>
      </w:r>
      <w:r>
        <w:rPr>
          <w:rFonts w:hint="eastAsia" w:ascii="微软雅黑" w:hAnsi="微软雅黑" w:eastAsia="微软雅黑"/>
          <w:sz w:val="28"/>
        </w:rPr>
        <w:t>日</w:t>
      </w:r>
    </w:p>
    <w:p>
      <w:pPr>
        <w:rPr>
          <w:rFonts w:ascii="黑体" w:hAnsi="宋体" w:eastAsia="黑体"/>
          <w:b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Cs/>
          <w:color w:val="595959"/>
          <w:sz w:val="28"/>
          <w:szCs w:val="28"/>
        </w:rPr>
      </w:pPr>
      <w:r>
        <w:rPr>
          <w:rFonts w:hint="eastAsia" w:ascii="黑体" w:hAnsi="宋体" w:eastAsia="黑体"/>
          <w:b/>
          <w:sz w:val="44"/>
          <w:szCs w:val="44"/>
        </w:rPr>
        <w:t>询价邀请函</w:t>
      </w:r>
    </w:p>
    <w:p>
      <w:pPr>
        <w:rPr>
          <w:rFonts w:ascii="仿宋" w:hAnsi="仿宋" w:eastAsia="仿宋" w:cs="仿宋"/>
          <w:bCs/>
          <w:color w:val="595959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仿宋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各报价单位：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我方因福建省平潭及闽江口水资源配置工程需要，现对该工程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莒口运行维保与后勤物资采购项目</w:t>
      </w: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进行询价。</w:t>
      </w:r>
    </w:p>
    <w:p>
      <w:pPr>
        <w:numPr>
          <w:ilvl w:val="0"/>
          <w:numId w:val="1"/>
        </w:numPr>
        <w:spacing w:line="360" w:lineRule="auto"/>
        <w:ind w:firstLine="482" w:firstLineChars="200"/>
        <w:jc w:val="left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/>
          <w:bCs w:val="0"/>
          <w:sz w:val="24"/>
          <w:highlight w:val="none"/>
        </w:rPr>
        <w:t>报价方式：</w:t>
      </w:r>
      <w:r>
        <w:rPr>
          <w:rFonts w:hint="eastAsia" w:ascii="宋体" w:hAnsi="宋体" w:eastAsia="宋体" w:cs="仿宋"/>
          <w:bCs/>
          <w:sz w:val="24"/>
          <w:highlight w:val="none"/>
        </w:rPr>
        <w:t>受邀请的报价人，以传真或邮件形式报价（邮件须为原件彩色扫描件）</w:t>
      </w: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，加盖报价人公章的纸质报价原件需同时寄送至委托方联系人</w:t>
      </w:r>
      <w:r>
        <w:rPr>
          <w:rFonts w:hint="eastAsia" w:ascii="宋体" w:hAnsi="宋体" w:eastAsia="宋体" w:cs="仿宋"/>
          <w:bCs/>
          <w:sz w:val="24"/>
          <w:highlight w:val="none"/>
        </w:rPr>
        <w:t>。寄送的纸质报价文件与邮件内容不一致时</w:t>
      </w: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，以纸质内容为准，报价时间以收到纸质报价资料为准。报价</w:t>
      </w:r>
      <w:r>
        <w:rPr>
          <w:rFonts w:hint="eastAsia" w:ascii="宋体" w:hAnsi="宋体" w:eastAsia="宋体" w:cs="仿宋"/>
          <w:bCs/>
          <w:sz w:val="24"/>
          <w:highlight w:val="none"/>
        </w:rPr>
        <w:t>截止时间：202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仿宋"/>
          <w:bCs/>
          <w:sz w:val="24"/>
          <w:highlight w:val="none"/>
        </w:rPr>
        <w:t>年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仿宋"/>
          <w:bCs/>
          <w:sz w:val="24"/>
          <w:highlight w:val="none"/>
        </w:rPr>
        <w:t>月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仿宋"/>
          <w:bCs/>
          <w:sz w:val="24"/>
          <w:highlight w:val="none"/>
        </w:rPr>
        <w:t>日；在此时段后报价均无效 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cs="仿宋" w:asciiTheme="minorEastAsia" w:hAnsiTheme="minorEastAsia" w:eastAsiaTheme="minorEastAsia"/>
          <w:b/>
          <w:bCs w:val="0"/>
          <w:sz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</w:rPr>
        <w:t>工作范围和内容：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仿宋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1、询价货物名称、数量及主要技术规格：详见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附件二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《单项工程汇总表》。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2、交货期：供货人收到采购计划后按采购人提供的货物规格、数量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十五</w:t>
      </w:r>
      <w:r>
        <w:rPr>
          <w:rFonts w:hint="eastAsia" w:ascii="宋体" w:hAnsi="宋体" w:eastAsia="宋体" w:cs="仿宋"/>
          <w:bCs/>
          <w:sz w:val="24"/>
          <w:highlight w:val="none"/>
        </w:rPr>
        <w:t>个日历日内到货。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3、交货地点：福州市永泰县塘前乡大樟村莒口拦河闸。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4、工作内容：供货人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根据采购人的采购需求提供相应的货物</w:t>
      </w:r>
      <w:r>
        <w:rPr>
          <w:rFonts w:hint="eastAsia" w:ascii="宋体" w:hAnsi="宋体" w:eastAsia="宋体" w:cs="仿宋"/>
          <w:bCs/>
          <w:sz w:val="24"/>
          <w:highlight w:val="none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5、质量要求：保证所有货物是全新、未使用过的原始生产厂家生产的合格正品，所有货物需有出厂合格证。其中安全帽需带具有省级技术监督部门颁发CMA计量认证证书单位检测单位出具的预试标签和检测报告；消防器材需带3C认证。所有货物需通过验收组人员现场检查、验收。验收按《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单项工程汇总表</w:t>
      </w:r>
      <w:r>
        <w:rPr>
          <w:rFonts w:hint="eastAsia" w:ascii="宋体" w:hAnsi="宋体" w:eastAsia="宋体" w:cs="仿宋"/>
          <w:bCs/>
          <w:sz w:val="24"/>
          <w:highlight w:val="none"/>
        </w:rPr>
        <w:t>》及询价函“质量要求”明确的标准执行。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6、质量保证期：全部货物验收合格之日起一年。</w:t>
      </w:r>
    </w:p>
    <w:p>
      <w:pPr>
        <w:spacing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  <w:t>三、付款方式：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合同签订生效七个工作日内，支付至合同总价的20%,待全部货物到货验收合格后支付至合同金额的90%,余款待质量保证期满后付清。供货人申请付款时应提供相应金额的增值税专用发票。</w:t>
      </w:r>
    </w:p>
    <w:p>
      <w:pPr>
        <w:spacing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  <w:t>四、货物质量保证金：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1、本项目的质量保证金为合同总价的10%,质量保证金不计银行利息。</w:t>
      </w:r>
    </w:p>
    <w:p>
      <w:pPr>
        <w:spacing w:line="360" w:lineRule="auto"/>
        <w:ind w:firstLine="480" w:firstLineChars="200"/>
        <w:rPr>
          <w:rFonts w:hint="default"/>
          <w:sz w:val="28"/>
          <w:lang w:val="en-US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2、本项目货物质量保证期为验收合格后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一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年，在保修期内如发生质量问题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供货人应负责无偿修复。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cs="仿宋" w:asciiTheme="minorEastAsia" w:hAnsiTheme="minorEastAsia" w:eastAsiaTheme="minorEastAsia"/>
          <w:b/>
          <w:bCs w:val="0"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/>
          <w:bCs w:val="0"/>
          <w:color w:val="auto"/>
          <w:sz w:val="24"/>
          <w:highlight w:val="none"/>
          <w:lang w:val="en-US" w:eastAsia="zh-CN"/>
        </w:rPr>
        <w:t>五</w:t>
      </w:r>
      <w:r>
        <w:rPr>
          <w:rFonts w:hint="eastAsia" w:cs="仿宋" w:asciiTheme="minorEastAsia" w:hAnsiTheme="minorEastAsia" w:eastAsiaTheme="minorEastAsia"/>
          <w:b/>
          <w:bCs w:val="0"/>
          <w:color w:val="auto"/>
          <w:sz w:val="24"/>
          <w:highlight w:val="none"/>
        </w:rPr>
        <w:t>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1、联系人：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eastAsia="zh-CN"/>
        </w:rPr>
        <w:t>翁晨冰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2、联系电话：0591-87867621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3、传真： 0591—87888761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4、邮箱：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  <w:t>1004431533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cs="仿宋" w:asciiTheme="minorEastAsia" w:hAnsiTheme="minorEastAsia" w:eastAsiaTheme="minorEastAsia"/>
          <w:b/>
          <w:bCs w:val="0"/>
          <w:sz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lang w:val="en-US" w:eastAsia="zh-CN"/>
        </w:rPr>
        <w:t>六</w:t>
      </w:r>
      <w:r>
        <w:rPr>
          <w:rFonts w:hint="eastAsia" w:cs="仿宋" w:asciiTheme="minorEastAsia" w:hAnsiTheme="minorEastAsia" w:eastAsiaTheme="minorEastAsia"/>
          <w:b/>
          <w:bCs w:val="0"/>
          <w:sz w:val="24"/>
        </w:rPr>
        <w:t>、报价说明：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1、</w:t>
      </w:r>
      <w:r>
        <w:rPr>
          <w:rFonts w:hint="eastAsia" w:cs="仿宋" w:asciiTheme="minorEastAsia" w:hAnsiTheme="minorEastAsia" w:eastAsiaTheme="minorEastAsia"/>
          <w:bCs/>
          <w:sz w:val="24"/>
        </w:rPr>
        <w:t>本项目要求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报价单位</w:t>
      </w:r>
      <w:r>
        <w:rPr>
          <w:rFonts w:hint="eastAsia" w:cs="仿宋" w:asciiTheme="minorEastAsia" w:hAnsiTheme="minorEastAsia" w:eastAsiaTheme="minorEastAsia"/>
          <w:bCs/>
          <w:sz w:val="24"/>
        </w:rPr>
        <w:t>具备有效的独立法人资格；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、接受询价单位根据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清单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内容自主做出报价，其报价应包含本单位管理费、利润、税费、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本项目最高限价为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25575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元整，报价不得超过最高限价。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接受询价单位必须承诺能够配备足够的、经验丰富的相关专业技术人员，确保工作服务内容按期完成，并结合单位自身实力、本项目工作内容、风险特性等相关内容进行最优报价，接受询价单位一经选择确定为该项目服务单位，其报价将作为最终服务合同价，不再另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yellow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、报价文件按以下资料提交：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华文宋体" w:hAnsi="华文宋体" w:eastAsia="华文宋体"/>
          <w:sz w:val="24"/>
          <w:highlight w:val="none"/>
        </w:rPr>
      </w:pPr>
      <w:r>
        <w:rPr>
          <w:rFonts w:hint="eastAsia" w:ascii="华文宋体" w:hAnsi="华文宋体" w:eastAsia="华文宋体"/>
          <w:sz w:val="24"/>
          <w:highlight w:val="none"/>
        </w:rPr>
        <w:t>（1）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福建省平潭及闽江口水资源配置（一闸三线）工程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u w:val="none"/>
          <w:lang w:eastAsia="zh-CN"/>
        </w:rPr>
        <w:t>项目</w:t>
      </w:r>
      <w:r>
        <w:rPr>
          <w:rFonts w:hint="eastAsia" w:cs="仿宋" w:asciiTheme="minorEastAsia" w:hAnsiTheme="minorEastAsia"/>
          <w:bCs/>
          <w:sz w:val="24"/>
          <w:highlight w:val="none"/>
          <w:lang w:eastAsia="zh-CN"/>
        </w:rPr>
        <w:t>报</w:t>
      </w:r>
      <w:r>
        <w:rPr>
          <w:rFonts w:hint="eastAsia" w:cs="仿宋" w:asciiTheme="minorEastAsia" w:hAnsiTheme="minorEastAsia"/>
          <w:bCs/>
          <w:sz w:val="24"/>
          <w:highlight w:val="none"/>
        </w:rPr>
        <w:t>价承诺函及报价表</w:t>
      </w:r>
      <w:r>
        <w:rPr>
          <w:rFonts w:hint="eastAsia" w:ascii="华文宋体" w:hAnsi="华文宋体" w:eastAsia="华文宋体"/>
          <w:sz w:val="24"/>
          <w:highlight w:val="none"/>
        </w:rPr>
        <w:t>（附件一）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（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）其他相关资料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（营业执照、资质证书等）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福州水务平潭引水开发有限公司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cs="仿宋" w:asciiTheme="minorEastAsia" w:hAnsiTheme="minorEastAsia" w:eastAsiaTheme="minorEastAsia"/>
          <w:bCs/>
          <w:sz w:val="24"/>
        </w:rPr>
        <w:t>20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23</w:t>
      </w:r>
      <w:r>
        <w:rPr>
          <w:rFonts w:hint="eastAsia" w:cs="仿宋" w:asciiTheme="minorEastAsia" w:hAnsiTheme="minorEastAsia" w:eastAsiaTheme="minorEastAsia"/>
          <w:bCs/>
          <w:sz w:val="24"/>
        </w:rPr>
        <w:t>年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bCs/>
          <w:sz w:val="24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20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Cs/>
          <w:sz w:val="24"/>
        </w:rPr>
        <w:t>日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</w:rPr>
        <w:t>福建省平潭及闽江口水资源配置（一闸三线）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工程</w:t>
      </w:r>
      <w:r>
        <w:rPr>
          <w:rFonts w:hint="eastAsia" w:ascii="黑体" w:hAnsi="宋体" w:eastAsia="黑体"/>
          <w:b/>
          <w:sz w:val="44"/>
          <w:szCs w:val="44"/>
          <w:highlight w:val="none"/>
          <w:lang w:val="en-US" w:eastAsia="zh-CN"/>
        </w:rPr>
        <w:t>莒口运行维保与后勤物资采购项目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报</w:t>
      </w:r>
      <w:r>
        <w:rPr>
          <w:rFonts w:hint="eastAsia" w:ascii="黑体" w:hAnsi="宋体" w:eastAsia="黑体"/>
          <w:b/>
          <w:sz w:val="44"/>
          <w:szCs w:val="44"/>
          <w:highlight w:val="none"/>
        </w:rPr>
        <w:t>价承诺函及报价表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福州水务平潭引水开发有限公司：</w:t>
      </w:r>
    </w:p>
    <w:p>
      <w:pPr>
        <w:ind w:firstLine="640" w:firstLineChars="200"/>
        <w:jc w:val="left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我单位已理解贵单位的项目情况与要求，同意按要求对福建省平潭及闽江水资源配置（一闸三线）工程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莒口运行维保与后勤物资采购项目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元，报价包含本单位管理费、利润、税费、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传  真：                          邮    箱：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960" w:firstLineChars="300"/>
        <w:rPr>
          <w:rFonts w:cs="仿宋" w:asciiTheme="minorEastAsia" w:hAnsiTheme="minorEastAsia" w:eastAsiaTheme="minorEastAsia"/>
          <w:bCs/>
          <w:sz w:val="32"/>
          <w:szCs w:val="32"/>
        </w:rPr>
      </w:pPr>
    </w:p>
    <w:p>
      <w:pPr>
        <w:spacing w:line="360" w:lineRule="auto"/>
        <w:ind w:right="480" w:firstLine="5280" w:firstLineChars="1650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报价承诺单位：（公章）</w:t>
      </w:r>
    </w:p>
    <w:p>
      <w:pPr>
        <w:spacing w:line="360" w:lineRule="auto"/>
        <w:ind w:right="480" w:firstLine="5280" w:firstLineChars="1650"/>
        <w:rPr>
          <w:rFonts w:ascii="宋体" w:hAnsi="宋体" w:cs="宋体"/>
          <w:sz w:val="24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法 人 代 表：（签名）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AC2CA"/>
    <w:multiLevelType w:val="singleLevel"/>
    <w:tmpl w:val="9A9AC2C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M4N2VlZDVlZWZlNGZlZDAyOGVhMzI5MjVlZWMifQ=="/>
  </w:docVars>
  <w:rsids>
    <w:rsidRoot w:val="009248A1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600D"/>
    <w:rsid w:val="00A22B19"/>
    <w:rsid w:val="00A54523"/>
    <w:rsid w:val="00A909C7"/>
    <w:rsid w:val="00AA2CE0"/>
    <w:rsid w:val="00B00D65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1146A05"/>
    <w:rsid w:val="021E1DDB"/>
    <w:rsid w:val="033E7101"/>
    <w:rsid w:val="07097292"/>
    <w:rsid w:val="088308EA"/>
    <w:rsid w:val="08C22F51"/>
    <w:rsid w:val="0A195A3E"/>
    <w:rsid w:val="0B304BB8"/>
    <w:rsid w:val="0D081CAE"/>
    <w:rsid w:val="11B62CEB"/>
    <w:rsid w:val="128B6315"/>
    <w:rsid w:val="13780A59"/>
    <w:rsid w:val="17752550"/>
    <w:rsid w:val="1A9058A9"/>
    <w:rsid w:val="1AF04373"/>
    <w:rsid w:val="1BD24C19"/>
    <w:rsid w:val="1C5816CC"/>
    <w:rsid w:val="1CA62FCC"/>
    <w:rsid w:val="1D3F4A6C"/>
    <w:rsid w:val="1F5D3BC6"/>
    <w:rsid w:val="1F8149A4"/>
    <w:rsid w:val="204B3A8E"/>
    <w:rsid w:val="20B50300"/>
    <w:rsid w:val="23026551"/>
    <w:rsid w:val="23342975"/>
    <w:rsid w:val="24902282"/>
    <w:rsid w:val="28D754C5"/>
    <w:rsid w:val="29B30CFC"/>
    <w:rsid w:val="2A183AEA"/>
    <w:rsid w:val="2C126FA0"/>
    <w:rsid w:val="2C644245"/>
    <w:rsid w:val="2C9B424D"/>
    <w:rsid w:val="31B7500F"/>
    <w:rsid w:val="326912B1"/>
    <w:rsid w:val="350E4E26"/>
    <w:rsid w:val="3BA8219F"/>
    <w:rsid w:val="3D7F55DD"/>
    <w:rsid w:val="3E481E73"/>
    <w:rsid w:val="408E3D89"/>
    <w:rsid w:val="419E4822"/>
    <w:rsid w:val="41EE2D31"/>
    <w:rsid w:val="42A853B4"/>
    <w:rsid w:val="42C6464D"/>
    <w:rsid w:val="46290A4B"/>
    <w:rsid w:val="47C61766"/>
    <w:rsid w:val="4EB827F1"/>
    <w:rsid w:val="51844935"/>
    <w:rsid w:val="53631AD7"/>
    <w:rsid w:val="53D61877"/>
    <w:rsid w:val="55BA31FE"/>
    <w:rsid w:val="562C2B4E"/>
    <w:rsid w:val="57CE1CE2"/>
    <w:rsid w:val="5C047D22"/>
    <w:rsid w:val="5D3819AB"/>
    <w:rsid w:val="600B05D5"/>
    <w:rsid w:val="64BC4F5E"/>
    <w:rsid w:val="651B1217"/>
    <w:rsid w:val="6695072F"/>
    <w:rsid w:val="66EC51E2"/>
    <w:rsid w:val="6759093F"/>
    <w:rsid w:val="6A512524"/>
    <w:rsid w:val="6CA5610F"/>
    <w:rsid w:val="6FB254B2"/>
    <w:rsid w:val="7021102D"/>
    <w:rsid w:val="71AE0A49"/>
    <w:rsid w:val="71BA5261"/>
    <w:rsid w:val="721B52D2"/>
    <w:rsid w:val="76825D9E"/>
    <w:rsid w:val="76C12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link w:val="17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link w:val="13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2">
    <w:name w:val="Hyperlink"/>
    <w:basedOn w:val="10"/>
    <w:semiHidden/>
    <w:unhideWhenUsed/>
    <w:qFormat/>
    <w:uiPriority w:val="99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13">
    <w:name w:val="正文文本缩进 2 Char"/>
    <w:basedOn w:val="10"/>
    <w:link w:val="5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4">
    <w:name w:val="标题 4 Char"/>
    <w:basedOn w:val="10"/>
    <w:link w:val="3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fontstyle01"/>
    <w:basedOn w:val="10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0">
    <w:name w:val="after"/>
    <w:basedOn w:val="10"/>
    <w:qFormat/>
    <w:uiPriority w:val="0"/>
    <w:rPr>
      <w:bdr w:val="dashed" w:color="auto" w:sz="48" w:space="0"/>
    </w:rPr>
  </w:style>
  <w:style w:type="character" w:customStyle="1" w:styleId="21">
    <w:name w:val="after1"/>
    <w:basedOn w:val="10"/>
    <w:qFormat/>
    <w:uiPriority w:val="0"/>
  </w:style>
  <w:style w:type="character" w:customStyle="1" w:styleId="22">
    <w:name w:val="active"/>
    <w:basedOn w:val="10"/>
    <w:qFormat/>
    <w:uiPriority w:val="0"/>
    <w:rPr>
      <w:color w:val="4285F4"/>
      <w:bdr w:val="single" w:color="4285F4" w:sz="6" w:space="0"/>
    </w:rPr>
  </w:style>
  <w:style w:type="character" w:customStyle="1" w:styleId="23">
    <w:name w:val="credit"/>
    <w:basedOn w:val="10"/>
    <w:qFormat/>
    <w:uiPriority w:val="0"/>
    <w:rPr>
      <w:sz w:val="18"/>
      <w:szCs w:val="18"/>
    </w:rPr>
  </w:style>
  <w:style w:type="character" w:customStyle="1" w:styleId="24">
    <w:name w:val="before"/>
    <w:basedOn w:val="10"/>
    <w:qFormat/>
    <w:uiPriority w:val="0"/>
    <w:rPr>
      <w:bdr w:val="single" w:color="auto" w:sz="48" w:space="0"/>
    </w:rPr>
  </w:style>
  <w:style w:type="character" w:customStyle="1" w:styleId="25">
    <w:name w:val="hover"/>
    <w:basedOn w:val="10"/>
    <w:qFormat/>
    <w:uiPriority w:val="0"/>
    <w:rPr>
      <w:shd w:val="clear" w:fill="346AC3"/>
    </w:rPr>
  </w:style>
  <w:style w:type="character" w:customStyle="1" w:styleId="26">
    <w:name w:val="hover1"/>
    <w:basedOn w:val="10"/>
    <w:qFormat/>
    <w:uiPriority w:val="0"/>
    <w:rPr>
      <w:color w:val="4285F4"/>
    </w:rPr>
  </w:style>
  <w:style w:type="character" w:customStyle="1" w:styleId="27">
    <w:name w:val="hover2"/>
    <w:basedOn w:val="10"/>
    <w:qFormat/>
    <w:uiPriority w:val="0"/>
    <w:rPr>
      <w:color w:val="4285F4"/>
    </w:rPr>
  </w:style>
  <w:style w:type="character" w:customStyle="1" w:styleId="28">
    <w:name w:val="hover3"/>
    <w:basedOn w:val="10"/>
    <w:qFormat/>
    <w:uiPriority w:val="0"/>
    <w:rPr>
      <w:color w:val="4285F4"/>
      <w:u w:val="none"/>
    </w:rPr>
  </w:style>
  <w:style w:type="character" w:customStyle="1" w:styleId="29">
    <w:name w:val="hover4"/>
    <w:basedOn w:val="10"/>
    <w:qFormat/>
    <w:uiPriority w:val="0"/>
    <w:rPr>
      <w:color w:val="1A85D7"/>
    </w:rPr>
  </w:style>
  <w:style w:type="character" w:customStyle="1" w:styleId="30">
    <w:name w:val="hover5"/>
    <w:basedOn w:val="10"/>
    <w:qFormat/>
    <w:uiPriority w:val="0"/>
  </w:style>
  <w:style w:type="character" w:customStyle="1" w:styleId="31">
    <w:name w:val="first-child"/>
    <w:basedOn w:val="10"/>
    <w:qFormat/>
    <w:uiPriority w:val="0"/>
  </w:style>
  <w:style w:type="character" w:customStyle="1" w:styleId="32">
    <w:name w:val="last-child1"/>
    <w:basedOn w:val="10"/>
    <w:qFormat/>
    <w:uiPriority w:val="0"/>
  </w:style>
  <w:style w:type="character" w:customStyle="1" w:styleId="33">
    <w:name w:val="hover42"/>
    <w:basedOn w:val="10"/>
    <w:qFormat/>
    <w:uiPriority w:val="0"/>
    <w:rPr>
      <w:shd w:val="clear" w:fill="346AC3"/>
    </w:rPr>
  </w:style>
  <w:style w:type="character" w:customStyle="1" w:styleId="34">
    <w:name w:val="hover43"/>
    <w:basedOn w:val="10"/>
    <w:qFormat/>
    <w:uiPriority w:val="0"/>
    <w:rPr>
      <w:color w:val="4285F4"/>
    </w:rPr>
  </w:style>
  <w:style w:type="character" w:customStyle="1" w:styleId="35">
    <w:name w:val="hover44"/>
    <w:basedOn w:val="10"/>
    <w:qFormat/>
    <w:uiPriority w:val="0"/>
    <w:rPr>
      <w:color w:val="4285F4"/>
      <w:u w:val="none"/>
    </w:rPr>
  </w:style>
  <w:style w:type="character" w:customStyle="1" w:styleId="36">
    <w:name w:val="hover45"/>
    <w:basedOn w:val="10"/>
    <w:qFormat/>
    <w:uiPriority w:val="0"/>
    <w:rPr>
      <w:color w:val="4285F4"/>
    </w:rPr>
  </w:style>
  <w:style w:type="character" w:customStyle="1" w:styleId="37">
    <w:name w:val="hover46"/>
    <w:basedOn w:val="10"/>
    <w:qFormat/>
    <w:uiPriority w:val="0"/>
    <w:rPr>
      <w:color w:val="1A85D7"/>
    </w:rPr>
  </w:style>
  <w:style w:type="character" w:customStyle="1" w:styleId="38">
    <w:name w:val="hover47"/>
    <w:basedOn w:val="10"/>
    <w:uiPriority w:val="0"/>
  </w:style>
  <w:style w:type="character" w:customStyle="1" w:styleId="39">
    <w:name w:val="active3"/>
    <w:basedOn w:val="10"/>
    <w:qFormat/>
    <w:uiPriority w:val="0"/>
    <w:rPr>
      <w:color w:val="4285F4"/>
      <w:bdr w:val="single" w:color="4285F4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BF9C-58D7-46DD-B9FE-926E46EA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1400</Words>
  <Characters>1490</Characters>
  <Lines>7</Lines>
  <Paragraphs>2</Paragraphs>
  <TotalTime>4</TotalTime>
  <ScaleCrop>false</ScaleCrop>
  <LinksUpToDate>false</LinksUpToDate>
  <CharactersWithSpaces>1593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翁十八</cp:lastModifiedBy>
  <cp:lastPrinted>2021-11-23T03:10:00Z</cp:lastPrinted>
  <dcterms:modified xsi:type="dcterms:W3CDTF">2023-07-20T08:34:10Z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30F8CFFE22614D7E99A1BFA58BCC43E7_13</vt:lpwstr>
  </property>
</Properties>
</file>