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bCs/>
          <w:sz w:val="44"/>
          <w:szCs w:val="44"/>
        </w:rPr>
      </w:pPr>
    </w:p>
    <w:p>
      <w:pPr>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福州市滨海水务发展有限公司</w:t>
      </w:r>
    </w:p>
    <w:p>
      <w:pPr>
        <w:spacing w:line="560" w:lineRule="exact"/>
        <w:jc w:val="center"/>
        <w:rPr>
          <w:rFonts w:ascii="方正小标宋_GBK" w:hAnsi="方正小标宋_GBK" w:eastAsia="方正小标宋_GBK" w:cs="方正小标宋_GBK"/>
          <w:bCs/>
          <w:sz w:val="44"/>
          <w:szCs w:val="44"/>
        </w:rPr>
      </w:pPr>
      <w:bookmarkStart w:id="0" w:name="OLE_LINK1"/>
      <w:r>
        <w:rPr>
          <w:rFonts w:hint="eastAsia" w:ascii="方正小标宋_GBK" w:hAnsi="方正小标宋_GBK" w:eastAsia="方正小标宋_GBK" w:cs="方正小标宋_GBK"/>
          <w:bCs/>
          <w:sz w:val="44"/>
          <w:szCs w:val="44"/>
        </w:rPr>
        <w:t>关于G228外文武围垦至下沙段3处驿站一体化设备采购的询价函</w:t>
      </w:r>
    </w:p>
    <w:bookmarkEnd w:id="0"/>
    <w:p>
      <w:pPr>
        <w:widowControl/>
        <w:snapToGrid w:val="0"/>
        <w:spacing w:line="600" w:lineRule="exact"/>
        <w:ind w:firstLine="640" w:firstLineChars="200"/>
        <w:jc w:val="left"/>
        <w:rPr>
          <w:rFonts w:ascii="仿宋" w:hAnsi="仿宋" w:eastAsia="仿宋" w:cs="仿宋"/>
          <w:kern w:val="0"/>
          <w:sz w:val="32"/>
          <w:szCs w:val="32"/>
        </w:rPr>
      </w:pPr>
    </w:p>
    <w:p>
      <w:pPr>
        <w:widowControl/>
        <w:snapToGrid w:val="0"/>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福州市滨海水务发展有限公司采用公开挂网询价采购方式组织实施本次货物的采购，现邀请合格供应商参与报价。</w:t>
      </w:r>
    </w:p>
    <w:p>
      <w:pPr>
        <w:widowControl/>
        <w:snapToGrid w:val="0"/>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一、询价邀请</w:t>
      </w:r>
    </w:p>
    <w:p>
      <w:pPr>
        <w:widowControl/>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kern w:val="0"/>
          <w:sz w:val="32"/>
          <w:szCs w:val="32"/>
        </w:rPr>
        <w:t>1.项目编号：</w:t>
      </w:r>
      <w:r>
        <w:rPr>
          <w:rFonts w:hint="eastAsia" w:ascii="仿宋" w:hAnsi="仿宋" w:eastAsia="仿宋" w:cs="仿宋"/>
          <w:sz w:val="32"/>
          <w:szCs w:val="32"/>
        </w:rPr>
        <w:t>BHSW2023CG-044</w:t>
      </w:r>
    </w:p>
    <w:p>
      <w:pPr>
        <w:widowControl/>
        <w:snapToGrid w:val="0"/>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2.询价采购物品名称及主要技术规格要求等详见“询价一览表”。</w:t>
      </w:r>
    </w:p>
    <w:p>
      <w:pPr>
        <w:widowControl/>
        <w:snapToGrid w:val="0"/>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3.报价文件应纸质版正本壹份，副本壹份，电子文件壹份（电子文件通过刻录光盘的形式与纸质报价文件同步提供，需提供签字、盖章完成的报价文件正本扫描件PDF格式一份</w:t>
      </w:r>
      <w:r>
        <w:rPr>
          <w:rFonts w:hint="eastAsia" w:ascii="仿宋" w:hAnsi="仿宋" w:eastAsia="仿宋" w:cs="仿宋"/>
          <w:b/>
          <w:kern w:val="0"/>
          <w:sz w:val="32"/>
          <w:szCs w:val="32"/>
        </w:rPr>
        <w:t>。）</w:t>
      </w:r>
      <w:r>
        <w:rPr>
          <w:rFonts w:hint="eastAsia" w:ascii="仿宋" w:hAnsi="仿宋" w:eastAsia="仿宋" w:cs="仿宋"/>
          <w:kern w:val="0"/>
          <w:sz w:val="32"/>
          <w:szCs w:val="32"/>
        </w:rPr>
        <w:t>用密封的形式,并在密封面注明询价项目名称、编号、供应商名称、联系人、联系电话等，同时在各密封处加盖公章寄送至我司。</w:t>
      </w:r>
    </w:p>
    <w:p>
      <w:pPr>
        <w:widowControl/>
        <w:snapToGrid w:val="0"/>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报价文件送达时间:自询价函发布之日起第五个工作日之内</w:t>
      </w:r>
      <w:r>
        <w:rPr>
          <w:rFonts w:hint="eastAsia" w:ascii="仿宋" w:hAnsi="仿宋" w:eastAsia="仿宋" w:cs="仿宋"/>
          <w:sz w:val="32"/>
          <w:szCs w:val="32"/>
        </w:rPr>
        <w:t>，</w:t>
      </w:r>
      <w:r>
        <w:rPr>
          <w:rFonts w:hint="eastAsia" w:ascii="仿宋" w:hAnsi="仿宋" w:eastAsia="仿宋" w:cs="仿宋"/>
          <w:kern w:val="0"/>
          <w:sz w:val="32"/>
          <w:szCs w:val="32"/>
        </w:rPr>
        <w:t>未按此要求的，将被视为无效报价文件。</w:t>
      </w:r>
    </w:p>
    <w:p>
      <w:pPr>
        <w:widowControl/>
        <w:snapToGrid w:val="0"/>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4.收件人：林女士</w:t>
      </w:r>
    </w:p>
    <w:p>
      <w:pPr>
        <w:widowControl/>
        <w:snapToGrid w:val="0"/>
        <w:spacing w:line="600" w:lineRule="exact"/>
        <w:ind w:firstLine="960" w:firstLineChars="300"/>
        <w:jc w:val="left"/>
        <w:rPr>
          <w:rFonts w:ascii="仿宋" w:hAnsi="仿宋" w:eastAsia="仿宋" w:cs="仿宋"/>
          <w:kern w:val="0"/>
          <w:sz w:val="32"/>
          <w:szCs w:val="32"/>
        </w:rPr>
      </w:pPr>
      <w:r>
        <w:rPr>
          <w:rFonts w:hint="eastAsia" w:ascii="仿宋" w:hAnsi="仿宋" w:eastAsia="仿宋" w:cs="仿宋"/>
          <w:kern w:val="0"/>
          <w:sz w:val="32"/>
          <w:szCs w:val="32"/>
        </w:rPr>
        <w:t>地址：福州市长乐区文武砂镇漳江路公交场站3楼滨海水务公司市场合约部</w:t>
      </w:r>
      <w:r>
        <w:rPr>
          <w:rFonts w:hint="eastAsia" w:ascii="仿宋" w:hAnsi="仿宋" w:eastAsia="仿宋" w:cs="仿宋"/>
          <w:sz w:val="32"/>
          <w:szCs w:val="32"/>
        </w:rPr>
        <w:t>，</w:t>
      </w:r>
      <w:r>
        <w:rPr>
          <w:rFonts w:hint="eastAsia" w:ascii="仿宋" w:hAnsi="仿宋" w:eastAsia="仿宋" w:cs="仿宋"/>
          <w:kern w:val="0"/>
          <w:sz w:val="32"/>
          <w:szCs w:val="32"/>
        </w:rPr>
        <w:t>联系电话：0591-28559620。</w:t>
      </w:r>
    </w:p>
    <w:p>
      <w:pPr>
        <w:spacing w:before="54" w:line="600" w:lineRule="exact"/>
        <w:ind w:left="161" w:right="173"/>
        <w:jc w:val="center"/>
        <w:rPr>
          <w:rFonts w:ascii="仿宋" w:hAnsi="仿宋" w:eastAsia="仿宋" w:cs="仿宋"/>
          <w:kern w:val="0"/>
          <w:sz w:val="32"/>
          <w:szCs w:val="32"/>
        </w:rPr>
      </w:pPr>
      <w:r>
        <w:rPr>
          <w:rFonts w:hint="eastAsia" w:ascii="仿宋" w:hAnsi="仿宋" w:eastAsia="仿宋" w:cs="仿宋"/>
          <w:b/>
          <w:sz w:val="32"/>
          <w:szCs w:val="32"/>
        </w:rPr>
        <w:t>询价一览表</w:t>
      </w:r>
    </w:p>
    <w:p>
      <w:pPr>
        <w:widowControl/>
        <w:numPr>
          <w:ilvl w:val="0"/>
          <w:numId w:val="2"/>
        </w:numPr>
        <w:spacing w:line="600" w:lineRule="exact"/>
        <w:ind w:firstLine="480" w:firstLineChars="150"/>
        <w:jc w:val="left"/>
        <w:rPr>
          <w:rFonts w:ascii="仿宋" w:hAnsi="仿宋" w:eastAsia="仿宋" w:cs="仿宋"/>
          <w:kern w:val="0"/>
          <w:sz w:val="32"/>
          <w:szCs w:val="32"/>
        </w:rPr>
      </w:pPr>
      <w:r>
        <w:rPr>
          <w:rFonts w:hint="eastAsia" w:ascii="仿宋" w:hAnsi="仿宋" w:eastAsia="仿宋" w:cs="仿宋"/>
          <w:kern w:val="0"/>
          <w:sz w:val="32"/>
          <w:szCs w:val="32"/>
        </w:rPr>
        <w:t>备注：</w:t>
      </w:r>
    </w:p>
    <w:tbl>
      <w:tblPr>
        <w:tblStyle w:val="22"/>
        <w:tblpPr w:leftFromText="180" w:rightFromText="180" w:vertAnchor="text" w:horzAnchor="page" w:tblpXSpec="center" w:tblpY="-5633"/>
        <w:tblOverlap w:val="never"/>
        <w:tblW w:w="9860" w:type="dxa"/>
        <w:jc w:val="center"/>
        <w:tblLayout w:type="fixed"/>
        <w:tblCellMar>
          <w:top w:w="0" w:type="dxa"/>
          <w:left w:w="0" w:type="dxa"/>
          <w:bottom w:w="0" w:type="dxa"/>
          <w:right w:w="0" w:type="dxa"/>
        </w:tblCellMar>
      </w:tblPr>
      <w:tblGrid>
        <w:gridCol w:w="683"/>
        <w:gridCol w:w="1975"/>
        <w:gridCol w:w="2015"/>
        <w:gridCol w:w="1350"/>
        <w:gridCol w:w="1475"/>
        <w:gridCol w:w="1300"/>
        <w:gridCol w:w="1062"/>
      </w:tblGrid>
      <w:tr>
        <w:trPr>
          <w:trHeight w:val="835" w:hRule="atLeast"/>
          <w:jc w:val="center"/>
        </w:trPr>
        <w:tc>
          <w:tcPr>
            <w:tcW w:w="68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kern w:val="0"/>
                <w:sz w:val="24"/>
              </w:rPr>
              <w:t>序号</w:t>
            </w:r>
          </w:p>
        </w:tc>
        <w:tc>
          <w:tcPr>
            <w:tcW w:w="197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品名</w:t>
            </w:r>
          </w:p>
        </w:tc>
        <w:tc>
          <w:tcPr>
            <w:tcW w:w="201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规格型号</w:t>
            </w:r>
          </w:p>
        </w:tc>
        <w:tc>
          <w:tcPr>
            <w:tcW w:w="13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数量（套）</w:t>
            </w:r>
          </w:p>
        </w:tc>
        <w:tc>
          <w:tcPr>
            <w:tcW w:w="1475"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color w:val="auto"/>
                <w:kern w:val="0"/>
                <w:sz w:val="24"/>
                <w:szCs w:val="24"/>
                <w:lang w:bidi="ar"/>
              </w:rPr>
              <w:t>含税单价最高限价（元）</w:t>
            </w:r>
          </w:p>
        </w:tc>
        <w:tc>
          <w:tcPr>
            <w:tcW w:w="1300"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含税总价最高限价（元）</w:t>
            </w:r>
          </w:p>
        </w:tc>
        <w:tc>
          <w:tcPr>
            <w:tcW w:w="1062"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质保期</w:t>
            </w:r>
          </w:p>
        </w:tc>
      </w:tr>
      <w:tr>
        <w:trPr>
          <w:trHeight w:val="564" w:hRule="atLeast"/>
          <w:jc w:val="center"/>
        </w:trPr>
        <w:tc>
          <w:tcPr>
            <w:tcW w:w="68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1</w:t>
            </w:r>
          </w:p>
        </w:tc>
        <w:tc>
          <w:tcPr>
            <w:tcW w:w="1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11T/d规模一体化生活污水处理设备</w:t>
            </w:r>
          </w:p>
        </w:tc>
        <w:tc>
          <w:tcPr>
            <w:tcW w:w="20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详见附件1</w:t>
            </w:r>
          </w:p>
        </w:tc>
        <w:tc>
          <w:tcPr>
            <w:tcW w:w="13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1</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160000.00</w:t>
            </w:r>
          </w:p>
        </w:tc>
        <w:tc>
          <w:tcPr>
            <w:tcW w:w="1300" w:type="dxa"/>
            <w:vMerge w:val="restart"/>
            <w:tcBorders>
              <w:top w:val="single" w:color="auto" w:sz="4" w:space="0"/>
              <w:left w:val="single" w:color="auto" w:sz="4" w:space="0"/>
              <w:right w:val="single" w:color="auto" w:sz="4" w:space="0"/>
            </w:tcBorders>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260000.00</w:t>
            </w:r>
          </w:p>
          <w:p>
            <w:pPr>
              <w:widowControl/>
              <w:spacing w:line="600" w:lineRule="exact"/>
              <w:jc w:val="center"/>
              <w:textAlignment w:val="center"/>
              <w:rPr>
                <w:rFonts w:ascii="仿宋" w:hAnsi="仿宋" w:eastAsia="仿宋" w:cs="仿宋"/>
                <w:sz w:val="24"/>
              </w:rPr>
            </w:pPr>
            <w:r>
              <w:rPr>
                <w:rFonts w:ascii="仿宋" w:hAnsi="仿宋" w:eastAsia="仿宋" w:cs="仿宋"/>
                <w:sz w:val="24"/>
              </w:rPr>
              <w:t xml:space="preserve"> </w:t>
            </w:r>
          </w:p>
        </w:tc>
        <w:tc>
          <w:tcPr>
            <w:tcW w:w="106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2年</w:t>
            </w:r>
          </w:p>
        </w:tc>
      </w:tr>
      <w:tr>
        <w:trPr>
          <w:trHeight w:val="564" w:hRule="atLeast"/>
          <w:jc w:val="center"/>
        </w:trPr>
        <w:tc>
          <w:tcPr>
            <w:tcW w:w="68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p>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2</w:t>
            </w:r>
          </w:p>
        </w:tc>
        <w:tc>
          <w:tcPr>
            <w:tcW w:w="19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3T/d规模一体化生活污水处理设备</w:t>
            </w:r>
          </w:p>
        </w:tc>
        <w:tc>
          <w:tcPr>
            <w:tcW w:w="201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详见附件1</w:t>
            </w:r>
          </w:p>
        </w:tc>
        <w:tc>
          <w:tcPr>
            <w:tcW w:w="13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kern w:val="0"/>
                <w:sz w:val="24"/>
              </w:rPr>
              <w:t>2</w:t>
            </w:r>
          </w:p>
        </w:tc>
        <w:tc>
          <w:tcPr>
            <w:tcW w:w="1475"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50000.00</w:t>
            </w:r>
            <w:r>
              <w:rPr>
                <w:rFonts w:ascii="仿宋" w:hAnsi="仿宋" w:eastAsia="仿宋" w:cs="仿宋"/>
                <w:sz w:val="24"/>
              </w:rPr>
              <w:t xml:space="preserve"> </w:t>
            </w:r>
          </w:p>
        </w:tc>
        <w:tc>
          <w:tcPr>
            <w:tcW w:w="1300" w:type="dxa"/>
            <w:vMerge w:val="continue"/>
            <w:tcBorders>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sz w:val="24"/>
              </w:rPr>
            </w:pPr>
          </w:p>
        </w:tc>
        <w:tc>
          <w:tcPr>
            <w:tcW w:w="1062"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2年</w:t>
            </w:r>
          </w:p>
        </w:tc>
      </w:tr>
      <w:tr>
        <w:trPr>
          <w:trHeight w:val="564" w:hRule="atLeast"/>
          <w:jc w:val="center"/>
        </w:trPr>
        <w:tc>
          <w:tcPr>
            <w:tcW w:w="68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left"/>
              <w:textAlignment w:val="center"/>
              <w:rPr>
                <w:rFonts w:ascii="仿宋" w:hAnsi="仿宋" w:eastAsia="仿宋" w:cs="仿宋"/>
                <w:kern w:val="0"/>
                <w:sz w:val="24"/>
              </w:rPr>
            </w:pPr>
          </w:p>
        </w:tc>
        <w:tc>
          <w:tcPr>
            <w:tcW w:w="9177" w:type="dxa"/>
            <w:gridSpan w:val="6"/>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left"/>
              <w:textAlignment w:val="center"/>
              <w:rPr>
                <w:rFonts w:ascii="仿宋" w:hAnsi="仿宋" w:eastAsia="仿宋" w:cs="仿宋"/>
                <w:kern w:val="0"/>
                <w:sz w:val="24"/>
              </w:rPr>
            </w:pPr>
            <w:r>
              <w:rPr>
                <w:rFonts w:hint="eastAsia" w:ascii="仿宋" w:hAnsi="仿宋" w:eastAsia="仿宋" w:cs="仿宋"/>
                <w:kern w:val="0"/>
                <w:sz w:val="24"/>
              </w:rPr>
              <w:t>报价人报价包含货物所涉及的有关项目的所有费用,包含货物的制造、包装、运输、装卸、保险、安装、调试、验收、专利、税费、售后服务、人员培训，通讯费，还应考虑其他中选人应缴的费用、履约过程中可能出现的索赔和变更以及可合理推断的责任和义务。</w:t>
            </w:r>
          </w:p>
        </w:tc>
      </w:tr>
    </w:tbl>
    <w:p>
      <w:pPr>
        <w:widowControl/>
        <w:numPr>
          <w:ilvl w:val="0"/>
          <w:numId w:val="3"/>
        </w:numPr>
        <w:spacing w:line="600" w:lineRule="exact"/>
        <w:ind w:left="0" w:firstLine="420"/>
        <w:jc w:val="left"/>
        <w:rPr>
          <w:rFonts w:ascii="仿宋" w:hAnsi="仿宋" w:eastAsia="仿宋" w:cs="仿宋"/>
          <w:kern w:val="0"/>
          <w:sz w:val="32"/>
          <w:szCs w:val="32"/>
        </w:rPr>
      </w:pPr>
      <w:r>
        <w:rPr>
          <w:rFonts w:hint="eastAsia" w:ascii="仿宋" w:hAnsi="仿宋" w:eastAsia="仿宋" w:cs="仿宋"/>
          <w:kern w:val="0"/>
          <w:sz w:val="32"/>
          <w:szCs w:val="32"/>
        </w:rPr>
        <w:t>本次合同包询价采购设定单价最高限价和总价最高限价，详见询价一览表。报价人报价超出最高限价的则为无效报价，产品技术标准和要求详见附件1。</w:t>
      </w:r>
    </w:p>
    <w:p>
      <w:pPr>
        <w:widowControl/>
        <w:numPr>
          <w:ilvl w:val="0"/>
          <w:numId w:val="3"/>
        </w:numPr>
        <w:spacing w:line="600" w:lineRule="exact"/>
        <w:ind w:left="0" w:firstLine="420"/>
        <w:jc w:val="left"/>
        <w:rPr>
          <w:rFonts w:ascii="仿宋" w:hAnsi="仿宋" w:eastAsia="仿宋" w:cs="仿宋"/>
          <w:kern w:val="0"/>
          <w:sz w:val="32"/>
          <w:szCs w:val="32"/>
          <w:lang w:eastAsia="ja-JP"/>
        </w:rPr>
      </w:pPr>
      <w:r>
        <w:rPr>
          <w:rFonts w:hint="eastAsia" w:ascii="仿宋" w:hAnsi="仿宋" w:eastAsia="仿宋" w:cs="仿宋"/>
          <w:kern w:val="0"/>
          <w:sz w:val="32"/>
          <w:szCs w:val="32"/>
        </w:rPr>
        <w:t>中选人</w:t>
      </w:r>
      <w:r>
        <w:rPr>
          <w:rFonts w:hint="eastAsia" w:ascii="仿宋" w:hAnsi="仿宋" w:eastAsia="仿宋" w:cs="仿宋"/>
          <w:kern w:val="0"/>
          <w:sz w:val="32"/>
          <w:szCs w:val="32"/>
          <w:lang w:eastAsia="ja-JP"/>
        </w:rPr>
        <w:t>应</w:t>
      </w:r>
      <w:r>
        <w:rPr>
          <w:rFonts w:hint="eastAsia" w:ascii="仿宋" w:hAnsi="仿宋" w:eastAsia="仿宋" w:cs="仿宋"/>
          <w:kern w:val="0"/>
          <w:sz w:val="32"/>
          <w:szCs w:val="32"/>
        </w:rPr>
        <w:t>于合同签订后7个工作日内将主设备交货至采购人指定地点，待现场具备安装条件后，二十个工作日内完成全部一体化生活污水处理设备安装初验、通水调试且终验合格。</w:t>
      </w:r>
    </w:p>
    <w:p>
      <w:pPr>
        <w:widowControl/>
        <w:numPr>
          <w:ilvl w:val="0"/>
          <w:numId w:val="3"/>
        </w:numPr>
        <w:spacing w:line="600" w:lineRule="exact"/>
        <w:ind w:left="0" w:firstLine="420"/>
        <w:jc w:val="left"/>
        <w:rPr>
          <w:rFonts w:ascii="仿宋" w:hAnsi="仿宋" w:eastAsia="仿宋" w:cs="仿宋"/>
          <w:kern w:val="0"/>
          <w:sz w:val="32"/>
          <w:szCs w:val="32"/>
        </w:rPr>
      </w:pPr>
      <w:r>
        <w:rPr>
          <w:rFonts w:hint="eastAsia" w:ascii="仿宋" w:hAnsi="仿宋" w:eastAsia="仿宋" w:cs="仿宋"/>
          <w:kern w:val="0"/>
          <w:sz w:val="32"/>
          <w:szCs w:val="32"/>
        </w:rPr>
        <w:t>交货地点：</w:t>
      </w:r>
      <w:r>
        <w:rPr>
          <w:rFonts w:hint="eastAsia" w:ascii="仿宋" w:hAnsi="仿宋" w:eastAsia="仿宋" w:cs="仿宋"/>
          <w:kern w:val="0"/>
          <w:sz w:val="32"/>
          <w:szCs w:val="32"/>
          <w:u w:val="single"/>
        </w:rPr>
        <w:t>福州市滨海新城采购人指定地点</w:t>
      </w:r>
    </w:p>
    <w:p>
      <w:pPr>
        <w:widowControl/>
        <w:numPr>
          <w:ilvl w:val="0"/>
          <w:numId w:val="3"/>
        </w:numPr>
        <w:spacing w:line="600" w:lineRule="exact"/>
        <w:ind w:left="0" w:firstLine="420"/>
        <w:jc w:val="left"/>
        <w:rPr>
          <w:rFonts w:ascii="仿宋" w:hAnsi="仿宋" w:eastAsia="仿宋" w:cs="仿宋"/>
          <w:kern w:val="0"/>
          <w:sz w:val="32"/>
          <w:szCs w:val="32"/>
        </w:rPr>
      </w:pPr>
      <w:r>
        <w:rPr>
          <w:rFonts w:hint="eastAsia" w:ascii="仿宋" w:hAnsi="仿宋" w:eastAsia="仿宋" w:cs="仿宋"/>
          <w:kern w:val="0"/>
          <w:sz w:val="32"/>
          <w:szCs w:val="32"/>
        </w:rPr>
        <w:t>违约责任：详见《G228外文武围垦至下沙段3处驿站一体化设备采购合同</w:t>
      </w:r>
      <w:r>
        <w:rPr>
          <w:rFonts w:hint="eastAsia" w:ascii="仿宋" w:hAnsi="仿宋" w:eastAsia="仿宋" w:cs="仿宋"/>
          <w:sz w:val="32"/>
          <w:szCs w:val="32"/>
        </w:rPr>
        <w:t>》</w:t>
      </w:r>
      <w:r>
        <w:rPr>
          <w:rFonts w:hint="eastAsia" w:ascii="仿宋" w:hAnsi="仿宋" w:eastAsia="仿宋" w:cs="仿宋"/>
          <w:kern w:val="0"/>
          <w:sz w:val="32"/>
          <w:szCs w:val="32"/>
        </w:rPr>
        <w:t>约定。</w:t>
      </w:r>
    </w:p>
    <w:p>
      <w:pPr>
        <w:widowControl/>
        <w:snapToGrid w:val="0"/>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二、报价须知</w:t>
      </w:r>
    </w:p>
    <w:p>
      <w:pPr>
        <w:pStyle w:val="30"/>
        <w:spacing w:line="600" w:lineRule="exact"/>
        <w:ind w:firstLine="640"/>
        <w:rPr>
          <w:rFonts w:ascii="仿宋" w:hAnsi="仿宋" w:eastAsia="仿宋" w:cs="仿宋"/>
          <w:sz w:val="32"/>
          <w:szCs w:val="32"/>
        </w:rPr>
      </w:pPr>
      <w:r>
        <w:rPr>
          <w:rFonts w:hint="eastAsia" w:ascii="仿宋" w:hAnsi="仿宋" w:eastAsia="仿宋" w:cs="仿宋"/>
          <w:kern w:val="0"/>
          <w:sz w:val="32"/>
          <w:szCs w:val="32"/>
        </w:rPr>
        <w:t>1.报价人需</w:t>
      </w:r>
      <w:r>
        <w:rPr>
          <w:rFonts w:hint="eastAsia" w:ascii="仿宋" w:hAnsi="仿宋" w:eastAsia="仿宋" w:cs="仿宋"/>
          <w:sz w:val="32"/>
          <w:szCs w:val="32"/>
        </w:rPr>
        <w:t>提供：</w:t>
      </w:r>
      <w:r>
        <w:rPr>
          <w:rFonts w:hint="eastAsia" w:ascii="仿宋" w:hAnsi="仿宋" w:eastAsia="仿宋" w:cs="仿宋"/>
          <w:b/>
          <w:sz w:val="32"/>
          <w:szCs w:val="32"/>
        </w:rPr>
        <w:t>营业执照复印件、法定代表人授权委托书、法定代表人身份证复印件、委托人身份证复印件以及售后服务承诺书</w:t>
      </w:r>
      <w:r>
        <w:rPr>
          <w:rFonts w:hint="eastAsia" w:ascii="仿宋" w:hAnsi="仿宋" w:eastAsia="仿宋" w:cs="仿宋"/>
          <w:sz w:val="32"/>
          <w:szCs w:val="32"/>
        </w:rPr>
        <w:t>，以上文件需胶装并加盖公章，</w:t>
      </w:r>
      <w:r>
        <w:rPr>
          <w:rFonts w:hint="eastAsia" w:ascii="仿宋" w:hAnsi="仿宋" w:eastAsia="仿宋" w:cs="仿宋"/>
          <w:kern w:val="0"/>
          <w:sz w:val="32"/>
          <w:szCs w:val="32"/>
        </w:rPr>
        <w:t>原件待采购人需要时备查</w:t>
      </w:r>
      <w:r>
        <w:rPr>
          <w:rFonts w:hint="eastAsia" w:ascii="仿宋" w:hAnsi="仿宋" w:eastAsia="仿宋" w:cs="仿宋"/>
          <w:sz w:val="32"/>
          <w:szCs w:val="32"/>
        </w:rPr>
        <w:t>。</w:t>
      </w:r>
      <w:r>
        <w:rPr>
          <w:rFonts w:hint="eastAsia" w:ascii="仿宋" w:hAnsi="仿宋" w:eastAsia="仿宋" w:cs="仿宋"/>
          <w:kern w:val="0"/>
          <w:sz w:val="32"/>
          <w:szCs w:val="32"/>
        </w:rPr>
        <w:t>未按此要求的，将被视为无效报价文件。</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2.报价人报价的服务必须符合“询价一览表”的要求，须在报价文件中详细说明所提供服务的技术规格和参数。上述技术规格及要求中所发生的一切费用均包含在报价价格中，不接受可选性报价（如详细配置有“可选购、大于、小于、优于”等描述都将视为无效报价）。</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3.报价人应遵守相关法规，若报价人违反规定，依照违规情节将其列入违规供应商名单，停止其一个月以上、三年以内的报价资格。</w:t>
      </w:r>
    </w:p>
    <w:p>
      <w:pPr>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4.无论报价过程中的做法和结果如何，报价人自行承担所有参与报价的全部有关费用。</w:t>
      </w:r>
    </w:p>
    <w:p>
      <w:pPr>
        <w:widowControl/>
        <w:snapToGrid w:val="0"/>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 评审办法、时间及地点</w:t>
      </w:r>
    </w:p>
    <w:p>
      <w:pPr>
        <w:adjustRightInd w:val="0"/>
        <w:snapToGrid w:val="0"/>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1.评审办法：符合条件的供应商最低价成交。若出现有效报价人不足三家情形的，本次询价程序终止，除采购任务取消情形外，我司将依法重新组织公开挂网询价或者采取其他方式采购。</w:t>
      </w:r>
    </w:p>
    <w:p>
      <w:pPr>
        <w:autoSpaceDE w:val="0"/>
        <w:autoSpaceDN w:val="0"/>
        <w:adjustRightInd w:val="0"/>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2.评审时间及地点：自询价函发布之日起第七个工作日，位于福州市滨海水务发展有限公司确定成交供应商。</w:t>
      </w:r>
    </w:p>
    <w:p>
      <w:pPr>
        <w:widowControl/>
        <w:snapToGrid w:val="0"/>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 xml:space="preserve">四、签订合同 </w:t>
      </w:r>
    </w:p>
    <w:p>
      <w:pPr>
        <w:adjustRightInd w:val="0"/>
        <w:snapToGrid w:val="0"/>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在通知成交后，根据采购人要求在规定时间内签订合同。</w:t>
      </w:r>
    </w:p>
    <w:p>
      <w:pPr>
        <w:widowControl/>
        <w:snapToGrid w:val="0"/>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五、询价结果确认</w:t>
      </w:r>
    </w:p>
    <w:p>
      <w:pPr>
        <w:widowControl/>
        <w:spacing w:line="600" w:lineRule="exact"/>
        <w:ind w:firstLine="640" w:firstLineChars="200"/>
        <w:jc w:val="left"/>
        <w:rPr>
          <w:rFonts w:ascii="仿宋" w:hAnsi="仿宋" w:eastAsia="仿宋" w:cs="仿宋"/>
          <w:sz w:val="32"/>
          <w:szCs w:val="32"/>
        </w:rPr>
      </w:pPr>
      <w:r>
        <w:rPr>
          <w:rFonts w:hint="eastAsia" w:ascii="仿宋" w:hAnsi="仿宋" w:eastAsia="仿宋" w:cs="仿宋"/>
          <w:kern w:val="0"/>
          <w:sz w:val="32"/>
          <w:szCs w:val="32"/>
        </w:rPr>
        <w:t>确定成交供应商后三个工作日内，成交结果</w:t>
      </w:r>
      <w:r>
        <w:rPr>
          <w:rFonts w:hint="eastAsia" w:ascii="仿宋" w:hAnsi="仿宋" w:eastAsia="仿宋" w:cs="仿宋"/>
          <w:sz w:val="32"/>
          <w:szCs w:val="32"/>
        </w:rPr>
        <w:t>将以电话形式告知成交供应商。</w:t>
      </w:r>
    </w:p>
    <w:p>
      <w:pPr>
        <w:pStyle w:val="9"/>
        <w:spacing w:line="600" w:lineRule="exact"/>
        <w:rPr>
          <w:rFonts w:ascii="仿宋" w:hAnsi="仿宋" w:eastAsia="仿宋" w:cs="仿宋"/>
          <w:sz w:val="32"/>
          <w:szCs w:val="32"/>
        </w:rPr>
      </w:pPr>
    </w:p>
    <w:p>
      <w:pPr>
        <w:widowControl/>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附件：1.技术标准和要求</w:t>
      </w:r>
    </w:p>
    <w:p>
      <w:pPr>
        <w:pStyle w:val="13"/>
        <w:spacing w:line="600" w:lineRule="exact"/>
        <w:ind w:firstLine="1600" w:firstLineChars="500"/>
        <w:rPr>
          <w:rFonts w:ascii="仿宋" w:hAnsi="仿宋" w:eastAsia="仿宋" w:cs="仿宋"/>
          <w:kern w:val="0"/>
          <w:sz w:val="32"/>
          <w:szCs w:val="32"/>
        </w:rPr>
      </w:pPr>
      <w:r>
        <w:rPr>
          <w:rFonts w:hint="eastAsia" w:ascii="仿宋" w:hAnsi="仿宋" w:eastAsia="仿宋" w:cs="仿宋"/>
          <w:kern w:val="0"/>
          <w:sz w:val="32"/>
          <w:szCs w:val="32"/>
        </w:rPr>
        <w:t>2.G228外文武围垦至下沙段3处驿站一体化设备采购合同</w:t>
      </w:r>
    </w:p>
    <w:p>
      <w:pPr>
        <w:widowControl/>
        <w:spacing w:line="600" w:lineRule="exact"/>
        <w:jc w:val="right"/>
        <w:rPr>
          <w:rFonts w:ascii="仿宋" w:hAnsi="仿宋" w:eastAsia="仿宋" w:cs="仿宋"/>
          <w:kern w:val="0"/>
          <w:sz w:val="32"/>
          <w:szCs w:val="32"/>
        </w:rPr>
      </w:pPr>
    </w:p>
    <w:p>
      <w:pPr>
        <w:widowControl/>
        <w:spacing w:line="600" w:lineRule="exact"/>
        <w:jc w:val="right"/>
        <w:rPr>
          <w:rFonts w:ascii="仿宋" w:hAnsi="仿宋" w:eastAsia="仿宋" w:cs="仿宋"/>
          <w:kern w:val="0"/>
          <w:sz w:val="32"/>
          <w:szCs w:val="32"/>
        </w:rPr>
      </w:pPr>
      <w:r>
        <w:rPr>
          <w:rFonts w:hint="eastAsia" w:ascii="仿宋" w:hAnsi="仿宋" w:eastAsia="仿宋" w:cs="仿宋"/>
          <w:kern w:val="0"/>
          <w:sz w:val="32"/>
          <w:szCs w:val="32"/>
        </w:rPr>
        <w:t>福州市滨海水务发展有限公司</w:t>
      </w:r>
    </w:p>
    <w:p>
      <w:pPr>
        <w:widowControl/>
        <w:wordWrap w:val="0"/>
        <w:spacing w:line="600" w:lineRule="exact"/>
        <w:jc w:val="right"/>
        <w:rPr>
          <w:rFonts w:ascii="仿宋" w:hAnsi="仿宋" w:eastAsia="仿宋" w:cs="仿宋"/>
          <w:kern w:val="0"/>
          <w:sz w:val="32"/>
          <w:szCs w:val="32"/>
        </w:rPr>
      </w:pPr>
      <w:r>
        <w:rPr>
          <w:rFonts w:hint="eastAsia" w:ascii="仿宋" w:hAnsi="仿宋" w:eastAsia="仿宋" w:cs="仿宋"/>
          <w:kern w:val="0"/>
          <w:sz w:val="32"/>
          <w:szCs w:val="32"/>
        </w:rPr>
        <w:t>2023年8月</w:t>
      </w:r>
      <w:bookmarkStart w:id="6" w:name="_GoBack"/>
      <w:bookmarkEnd w:id="6"/>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 xml:space="preserve">日    </w:t>
      </w:r>
    </w:p>
    <w:p>
      <w:pPr>
        <w:widowControl/>
        <w:jc w:val="left"/>
        <w:rPr>
          <w:rFonts w:ascii="仿宋" w:hAnsi="仿宋" w:eastAsia="仿宋" w:cs="仿宋"/>
          <w:kern w:val="0"/>
          <w:sz w:val="32"/>
          <w:szCs w:val="32"/>
        </w:rPr>
      </w:pPr>
      <w:r>
        <w:rPr>
          <w:rFonts w:hint="eastAsia" w:ascii="仿宋" w:hAnsi="仿宋" w:eastAsia="仿宋" w:cs="仿宋"/>
          <w:kern w:val="0"/>
          <w:sz w:val="32"/>
          <w:szCs w:val="32"/>
        </w:rPr>
        <w:br w:type="page"/>
      </w:r>
    </w:p>
    <w:p>
      <w:pPr>
        <w:jc w:val="left"/>
        <w:rPr>
          <w:rFonts w:ascii="仿宋" w:hAnsi="仿宋" w:eastAsia="仿宋" w:cs="仿宋"/>
          <w:kern w:val="0"/>
          <w:sz w:val="32"/>
          <w:szCs w:val="32"/>
        </w:rPr>
      </w:pPr>
      <w:r>
        <w:rPr>
          <w:rFonts w:hint="eastAsia" w:ascii="仿宋" w:hAnsi="仿宋" w:eastAsia="仿宋" w:cs="仿宋"/>
          <w:kern w:val="0"/>
          <w:sz w:val="32"/>
          <w:szCs w:val="32"/>
        </w:rPr>
        <w:t>附件1：技术标准和要求</w:t>
      </w:r>
    </w:p>
    <w:p>
      <w:pPr>
        <w:pStyle w:val="5"/>
        <w:tabs>
          <w:tab w:val="left" w:pos="576"/>
        </w:tabs>
        <w:spacing w:before="156"/>
      </w:pPr>
      <w:bookmarkStart w:id="1" w:name="_Toc19801"/>
      <w:r>
        <w:rPr>
          <w:rFonts w:hint="eastAsia"/>
        </w:rPr>
        <w:t>一、</w:t>
      </w:r>
      <w:r>
        <w:t>项目规模</w:t>
      </w:r>
      <w:bookmarkEnd w:id="1"/>
    </w:p>
    <w:p>
      <w:pPr>
        <w:spacing w:line="360" w:lineRule="auto"/>
        <w:rPr>
          <w:sz w:val="24"/>
        </w:rPr>
      </w:pPr>
      <w:r>
        <w:rPr>
          <w:rFonts w:hint="eastAsia"/>
          <w:sz w:val="24"/>
        </w:rPr>
        <w:t>1、一套1</w:t>
      </w:r>
      <w:r>
        <w:rPr>
          <w:sz w:val="24"/>
        </w:rPr>
        <w:t>1T/d</w:t>
      </w:r>
      <w:r>
        <w:rPr>
          <w:rFonts w:hint="eastAsia"/>
          <w:sz w:val="24"/>
        </w:rPr>
        <w:t>规模一体化生活污水处理设备，构筑物占地面积不大于26㎡，总用地面积不大于12*5.5㎡；</w:t>
      </w:r>
    </w:p>
    <w:p>
      <w:pPr>
        <w:spacing w:line="360" w:lineRule="auto"/>
        <w:rPr>
          <w:sz w:val="24"/>
        </w:rPr>
      </w:pPr>
      <w:r>
        <w:rPr>
          <w:rFonts w:hint="eastAsia"/>
          <w:sz w:val="24"/>
        </w:rPr>
        <w:t>2、两套3</w:t>
      </w:r>
      <w:r>
        <w:rPr>
          <w:sz w:val="24"/>
        </w:rPr>
        <w:t>T/d</w:t>
      </w:r>
      <w:r>
        <w:rPr>
          <w:rFonts w:hint="eastAsia"/>
          <w:sz w:val="24"/>
        </w:rPr>
        <w:t>规模一体化生活污水处理设备，每套构筑物占地面积不大于10㎡，总用地面积不大于3.5*5.8㎡；</w:t>
      </w:r>
    </w:p>
    <w:p>
      <w:pPr>
        <w:spacing w:line="360" w:lineRule="auto"/>
        <w:rPr>
          <w:color w:val="FF0000"/>
          <w:sz w:val="24"/>
        </w:rPr>
      </w:pPr>
      <w:r>
        <w:rPr>
          <w:rFonts w:hint="eastAsia"/>
          <w:sz w:val="24"/>
        </w:rPr>
        <w:t>3、设备含安装、调试，不包括污水收集排放管网及设备土建基础的设计、建设。</w:t>
      </w:r>
      <w:r>
        <w:rPr>
          <w:rFonts w:hint="eastAsia"/>
          <w:color w:val="FF0000"/>
          <w:sz w:val="24"/>
        </w:rPr>
        <w:t>质保期两年，两年内应按季度对设备进行巡检。</w:t>
      </w:r>
    </w:p>
    <w:p>
      <w:pPr>
        <w:pStyle w:val="5"/>
        <w:tabs>
          <w:tab w:val="left" w:pos="576"/>
        </w:tabs>
        <w:spacing w:before="156"/>
      </w:pPr>
      <w:r>
        <w:rPr>
          <w:rFonts w:hint="eastAsia"/>
        </w:rPr>
        <w:t>二、产品要求</w:t>
      </w:r>
    </w:p>
    <w:p>
      <w:pPr>
        <w:pStyle w:val="29"/>
        <w:ind w:left="0" w:leftChars="0" w:firstLine="0" w:firstLineChars="0"/>
        <w:rPr>
          <w:rFonts w:ascii="宋体" w:hAnsi="宋体" w:cs="宋体"/>
        </w:rPr>
      </w:pPr>
      <w:r>
        <w:rPr>
          <w:rFonts w:hint="eastAsia" w:ascii="宋体" w:hAnsi="宋体" w:cs="宋体"/>
        </w:rPr>
        <w:t>1、工艺</w:t>
      </w:r>
      <w:r>
        <w:rPr>
          <w:rFonts w:hint="eastAsia" w:cs="宋体"/>
        </w:rPr>
        <w:t>路线</w:t>
      </w:r>
      <w:r>
        <w:rPr>
          <w:rFonts w:hint="eastAsia" w:ascii="宋体" w:hAnsi="宋体" w:cs="宋体"/>
        </w:rPr>
        <w:t>：多级 A/O工艺+软性固定填料过滤+消毒；</w:t>
      </w:r>
    </w:p>
    <w:p>
      <w:pPr>
        <w:pStyle w:val="29"/>
        <w:numPr>
          <w:ilvl w:val="0"/>
          <w:numId w:val="4"/>
        </w:numPr>
        <w:ind w:left="0" w:leftChars="0" w:firstLine="0" w:firstLineChars="0"/>
      </w:pPr>
      <w:r>
        <w:rPr>
          <w:rFonts w:hint="eastAsia" w:ascii="宋体" w:hAnsi="宋体" w:cs="宋体"/>
        </w:rPr>
        <w:t>一体化设备需包含固液分离区、包含缺氧槽、好氧槽、软性固定填料过滤槽、消毒放流槽、混合液回流系统、电解除磷单元、气泵、控制箱等；</w:t>
      </w:r>
    </w:p>
    <w:p>
      <w:pPr>
        <w:spacing w:before="156" w:beforeLines="50" w:after="156" w:afterLines="50" w:line="360" w:lineRule="auto"/>
        <w:rPr>
          <w:rFonts w:ascii="宋体" w:hAnsi="宋体" w:cs="宋体"/>
          <w:sz w:val="24"/>
        </w:rPr>
      </w:pPr>
      <w:r>
        <w:rPr>
          <w:rFonts w:hint="eastAsia"/>
          <w:sz w:val="24"/>
        </w:rPr>
        <w:t>3、出水水质执行一级B标准。</w:t>
      </w:r>
    </w:p>
    <w:p>
      <w:pPr>
        <w:pStyle w:val="29"/>
        <w:ind w:left="0" w:leftChars="0" w:firstLine="0" w:firstLineChars="0"/>
        <w:rPr>
          <w:rFonts w:ascii="宋体" w:hAnsi="宋体" w:cs="宋体"/>
        </w:rPr>
      </w:pPr>
      <w:r>
        <w:rPr>
          <w:rFonts w:hint="eastAsia" w:ascii="宋体" w:hAnsi="宋体" w:cs="宋体"/>
        </w:rPr>
        <w:t>4、停留时间：生化总停留时间不小于20h；</w:t>
      </w:r>
    </w:p>
    <w:p>
      <w:pPr>
        <w:pStyle w:val="29"/>
        <w:ind w:left="0" w:leftChars="0" w:firstLine="0" w:firstLineChars="0"/>
        <w:rPr>
          <w:rFonts w:ascii="宋体" w:hAnsi="宋体" w:cs="宋体"/>
        </w:rPr>
      </w:pPr>
      <w:r>
        <w:rPr>
          <w:rFonts w:hint="eastAsia" w:ascii="宋体" w:hAnsi="宋体" w:cs="宋体"/>
        </w:rPr>
        <w:t>5、除磷方式：采用电解除磷，集成于与一体化设备内；</w:t>
      </w:r>
    </w:p>
    <w:p>
      <w:pPr>
        <w:pStyle w:val="29"/>
        <w:ind w:left="0" w:leftChars="0" w:firstLine="0" w:firstLineChars="0"/>
        <w:rPr>
          <w:rFonts w:ascii="宋体" w:hAnsi="宋体" w:cs="宋体"/>
        </w:rPr>
      </w:pPr>
      <w:r>
        <w:rPr>
          <w:rFonts w:hint="eastAsia" w:ascii="宋体" w:hAnsi="宋体" w:cs="宋体"/>
        </w:rPr>
        <w:t>6、消毒：设置</w:t>
      </w:r>
      <w:r>
        <w:rPr>
          <w:rFonts w:hint="eastAsia" w:cs="宋体"/>
        </w:rPr>
        <w:t>药物投加</w:t>
      </w:r>
      <w:r>
        <w:rPr>
          <w:rFonts w:hint="eastAsia" w:ascii="宋体" w:hAnsi="宋体" w:cs="宋体"/>
        </w:rPr>
        <w:t>消毒装置</w:t>
      </w:r>
      <w:r>
        <w:rPr>
          <w:rFonts w:hint="eastAsia" w:cs="宋体"/>
        </w:rPr>
        <w:t>，</w:t>
      </w:r>
      <w:r>
        <w:rPr>
          <w:rFonts w:hint="eastAsia" w:ascii="宋体" w:hAnsi="宋体" w:cs="宋体"/>
        </w:rPr>
        <w:t>集成于与一体化设备内；</w:t>
      </w:r>
    </w:p>
    <w:p>
      <w:pPr>
        <w:pStyle w:val="29"/>
        <w:ind w:left="0" w:leftChars="0" w:firstLine="0" w:firstLineChars="0"/>
        <w:rPr>
          <w:rFonts w:ascii="宋体" w:hAnsi="宋体" w:cs="宋体"/>
        </w:rPr>
      </w:pPr>
      <w:r>
        <w:rPr>
          <w:rFonts w:hint="eastAsia" w:cs="宋体"/>
        </w:rPr>
        <w:t>7、回流形式：采用较节能的</w:t>
      </w:r>
      <w:r>
        <w:rPr>
          <w:rFonts w:hint="eastAsia" w:ascii="宋体" w:hAnsi="宋体" w:cs="宋体"/>
        </w:rPr>
        <w:t>气提回流形式；</w:t>
      </w:r>
    </w:p>
    <w:p>
      <w:pPr>
        <w:pStyle w:val="29"/>
        <w:ind w:left="0" w:leftChars="0" w:firstLine="0" w:firstLineChars="0"/>
        <w:rPr>
          <w:rFonts w:ascii="宋体" w:hAnsi="宋体" w:cs="宋体"/>
        </w:rPr>
      </w:pPr>
      <w:r>
        <w:rPr>
          <w:rFonts w:hint="eastAsia" w:cs="宋体"/>
        </w:rPr>
        <w:t>8</w:t>
      </w:r>
      <w:r>
        <w:rPr>
          <w:rFonts w:hint="eastAsia" w:ascii="宋体" w:hAnsi="宋体" w:cs="宋体"/>
        </w:rPr>
        <w:t>、</w:t>
      </w:r>
      <w:r>
        <w:rPr>
          <w:rFonts w:hint="eastAsia" w:cs="宋体"/>
        </w:rPr>
        <w:t>设备控制：</w:t>
      </w:r>
      <w:r>
        <w:rPr>
          <w:rFonts w:hint="eastAsia" w:ascii="宋体" w:hAnsi="宋体" w:cs="宋体"/>
        </w:rPr>
        <w:t>设备需具备智能网络控制系统/平台实现无人值守、自动运行、远程监控等功能。成套控制系统，满足一体化污水设备正常运行。每个水站设置一套PLC和触摸屏，对一体化水处理装置系统内的所有设备进行控制和监视，所有水泵、风机（气泵）、检测仪表的监控全部接入PLC内，PLC预留云平台通讯接口（RS485），通过</w:t>
      </w:r>
      <w:r>
        <w:rPr>
          <w:rFonts w:hint="eastAsia" w:cs="宋体"/>
        </w:rPr>
        <w:t>4G</w:t>
      </w:r>
      <w:r>
        <w:rPr>
          <w:rFonts w:hint="eastAsia" w:ascii="宋体" w:hAnsi="宋体" w:cs="宋体"/>
        </w:rPr>
        <w:t>方式接入云监控平台，实现在云监控平台对每个水站的运行监视和控制，并能做到一键启停操作。</w:t>
      </w:r>
      <w:r>
        <w:rPr>
          <w:rFonts w:hint="eastAsia" w:cs="宋体"/>
        </w:rPr>
        <w:t>监测信息应能推送至滨海水务指定平台，</w:t>
      </w:r>
      <w:r>
        <w:rPr>
          <w:rFonts w:hint="eastAsia" w:cs="宋体"/>
          <w:color w:val="FF0000"/>
        </w:rPr>
        <w:t>数据远传含6年流量资费。</w:t>
      </w:r>
    </w:p>
    <w:p>
      <w:pPr>
        <w:pStyle w:val="29"/>
        <w:ind w:left="0" w:leftChars="0" w:firstLine="0" w:firstLineChars="0"/>
        <w:rPr>
          <w:rFonts w:ascii="宋体" w:hAnsi="宋体" w:cs="宋体"/>
        </w:rPr>
      </w:pPr>
      <w:r>
        <w:rPr>
          <w:rFonts w:hint="eastAsia" w:cs="宋体"/>
        </w:rPr>
        <w:t>9</w:t>
      </w:r>
      <w:r>
        <w:rPr>
          <w:rFonts w:hint="eastAsia" w:ascii="宋体" w:hAnsi="宋体" w:cs="宋体"/>
        </w:rPr>
        <w:t>、</w:t>
      </w:r>
      <w:r>
        <w:rPr>
          <w:rFonts w:hint="eastAsia" w:cs="宋体"/>
        </w:rPr>
        <w:t>流量监控：</w:t>
      </w:r>
      <w:r>
        <w:rPr>
          <w:rFonts w:hint="eastAsia" w:ascii="宋体" w:hAnsi="宋体" w:cs="宋体"/>
        </w:rPr>
        <w:t>每个水站应配备</w:t>
      </w:r>
      <w:r>
        <w:rPr>
          <w:rFonts w:hint="eastAsia" w:cs="宋体"/>
        </w:rPr>
        <w:t>进出水</w:t>
      </w:r>
      <w:r>
        <w:rPr>
          <w:rFonts w:hint="eastAsia" w:ascii="宋体" w:hAnsi="宋体" w:cs="宋体"/>
        </w:rPr>
        <w:t>电磁流量计，</w:t>
      </w:r>
      <w:r>
        <w:rPr>
          <w:rFonts w:hint="eastAsia" w:cs="宋体"/>
        </w:rPr>
        <w:t>数据接入控制柜</w:t>
      </w:r>
      <w:r>
        <w:rPr>
          <w:rFonts w:hint="eastAsia" w:ascii="宋体" w:hAnsi="宋体" w:cs="宋体"/>
        </w:rPr>
        <w:t>。</w:t>
      </w:r>
    </w:p>
    <w:p>
      <w:pPr>
        <w:pStyle w:val="29"/>
        <w:ind w:left="0" w:leftChars="0" w:firstLine="0" w:firstLineChars="0"/>
        <w:rPr>
          <w:rFonts w:ascii="宋体" w:hAnsi="宋体" w:cs="宋体"/>
        </w:rPr>
      </w:pPr>
      <w:r>
        <w:rPr>
          <w:rFonts w:hint="eastAsia" w:ascii="宋体" w:hAnsi="宋体" w:cs="宋体"/>
        </w:rPr>
        <w:t>1</w:t>
      </w:r>
      <w:r>
        <w:rPr>
          <w:rFonts w:hint="eastAsia" w:cs="宋体"/>
        </w:rPr>
        <w:t>0</w:t>
      </w:r>
      <w:r>
        <w:rPr>
          <w:rFonts w:hint="eastAsia" w:ascii="宋体" w:hAnsi="宋体" w:cs="宋体"/>
        </w:rPr>
        <w:t>、软件著作要求：一体化设备或其控制系统/控制平台应具有有效的软件著作版权证书。</w:t>
      </w:r>
    </w:p>
    <w:p>
      <w:pPr>
        <w:pStyle w:val="29"/>
        <w:ind w:left="0" w:leftChars="0" w:firstLine="0" w:firstLineChars="0"/>
        <w:rPr>
          <w:rFonts w:ascii="宋体" w:hAnsi="宋体" w:cs="宋体"/>
        </w:rPr>
      </w:pPr>
      <w:r>
        <w:rPr>
          <w:rFonts w:hint="eastAsia"/>
          <w:spacing w:val="12"/>
          <w:kern w:val="5"/>
          <w:szCs w:val="21"/>
        </w:rPr>
        <w:t>11、</w:t>
      </w:r>
      <w:r>
        <w:rPr>
          <w:spacing w:val="12"/>
          <w:kern w:val="5"/>
          <w:szCs w:val="21"/>
        </w:rPr>
        <w:t>一体化设备性能需获得第三方机构认证的检验报告</w:t>
      </w:r>
      <w:r>
        <w:rPr>
          <w:rFonts w:hint="eastAsia"/>
          <w:spacing w:val="12"/>
          <w:kern w:val="5"/>
          <w:szCs w:val="21"/>
        </w:rPr>
        <w:t>。</w:t>
      </w:r>
    </w:p>
    <w:p>
      <w:pPr>
        <w:pStyle w:val="5"/>
        <w:tabs>
          <w:tab w:val="left" w:pos="576"/>
        </w:tabs>
        <w:spacing w:before="156"/>
      </w:pPr>
      <w:bookmarkStart w:id="2" w:name="_Toc46308226"/>
      <w:bookmarkStart w:id="3" w:name="_Toc3798012"/>
      <w:bookmarkStart w:id="4" w:name="_Toc476907933"/>
      <w:bookmarkStart w:id="5" w:name="_Toc22925"/>
      <w:r>
        <w:rPr>
          <w:rFonts w:hint="eastAsia"/>
        </w:rPr>
        <w:t>三、进水水质及出水水质标准</w:t>
      </w:r>
      <w:bookmarkEnd w:id="2"/>
      <w:bookmarkEnd w:id="3"/>
      <w:bookmarkEnd w:id="4"/>
      <w:bookmarkEnd w:id="5"/>
    </w:p>
    <w:p>
      <w:pPr>
        <w:spacing w:before="156" w:beforeLines="50" w:after="156" w:afterLines="50" w:line="360" w:lineRule="auto"/>
        <w:ind w:firstLine="480" w:firstLineChars="200"/>
        <w:rPr>
          <w:color w:val="FF0000"/>
        </w:rPr>
      </w:pPr>
      <w:r>
        <w:rPr>
          <w:rFonts w:hint="eastAsia"/>
          <w:sz w:val="24"/>
        </w:rPr>
        <w:t>本项目处理污水主要为生活污水，现确定本项目的进水水质污染物参数如表</w:t>
      </w:r>
      <w:r>
        <w:rPr>
          <w:sz w:val="24"/>
        </w:rPr>
        <w:t>1.1</w:t>
      </w:r>
      <w:r>
        <w:rPr>
          <w:rFonts w:hint="eastAsia"/>
          <w:sz w:val="24"/>
        </w:rPr>
        <w:t>.1所示。处理后排放标准达到</w:t>
      </w:r>
      <w:r>
        <w:rPr>
          <w:rFonts w:hint="eastAsia"/>
          <w:color w:val="FF0000"/>
          <w:sz w:val="24"/>
        </w:rPr>
        <w:t xml:space="preserve">《城镇污水处理厂污染物排放标准（GB18918—2002）》一级B标准。 </w:t>
      </w:r>
      <w:r>
        <w:rPr>
          <w:rFonts w:hint="eastAsia"/>
          <w:color w:val="FF0000"/>
        </w:rPr>
        <w:t xml:space="preserve">   </w:t>
      </w:r>
    </w:p>
    <w:p>
      <w:pPr>
        <w:spacing w:before="156" w:beforeLines="50" w:after="156" w:afterLines="50" w:line="240" w:lineRule="exact"/>
        <w:jc w:val="center"/>
        <w:rPr>
          <w:b/>
          <w:szCs w:val="21"/>
        </w:rPr>
      </w:pPr>
      <w:r>
        <w:rPr>
          <w:b/>
          <w:szCs w:val="21"/>
        </w:rPr>
        <w:t>表</w:t>
      </w:r>
      <w:r>
        <w:rPr>
          <w:rFonts w:hint="eastAsia"/>
          <w:b/>
          <w:szCs w:val="21"/>
        </w:rPr>
        <w:t>1.1.1</w:t>
      </w:r>
      <w:r>
        <w:rPr>
          <w:b/>
          <w:szCs w:val="21"/>
        </w:rPr>
        <w:t xml:space="preserve">  进水水质</w:t>
      </w:r>
      <w:r>
        <w:rPr>
          <w:rFonts w:hint="eastAsia"/>
          <w:b/>
          <w:szCs w:val="21"/>
        </w:rPr>
        <w:t>表 单位为mg/L</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936"/>
        <w:gridCol w:w="1270"/>
        <w:gridCol w:w="1132"/>
        <w:gridCol w:w="1132"/>
        <w:gridCol w:w="1087"/>
        <w:gridCol w:w="992"/>
        <w:gridCol w:w="1130"/>
      </w:tblGrid>
      <w:tr>
        <w:trPr>
          <w:trHeight w:val="454" w:hRule="atLeast"/>
          <w:jc w:val="center"/>
        </w:trPr>
        <w:tc>
          <w:tcPr>
            <w:tcW w:w="843" w:type="dxa"/>
            <w:vAlign w:val="center"/>
          </w:tcPr>
          <w:p>
            <w:pPr>
              <w:pStyle w:val="66"/>
              <w:jc w:val="center"/>
              <w:rPr>
                <w:rFonts w:cs="Times New Roman"/>
                <w:sz w:val="21"/>
                <w:szCs w:val="21"/>
              </w:rPr>
            </w:pPr>
            <w:r>
              <w:rPr>
                <w:rFonts w:hint="eastAsia" w:cs="Times New Roman"/>
                <w:sz w:val="21"/>
                <w:szCs w:val="21"/>
              </w:rPr>
              <w:t>项目</w:t>
            </w:r>
          </w:p>
        </w:tc>
        <w:tc>
          <w:tcPr>
            <w:tcW w:w="936" w:type="dxa"/>
            <w:vAlign w:val="center"/>
          </w:tcPr>
          <w:p>
            <w:pPr>
              <w:pStyle w:val="66"/>
              <w:jc w:val="center"/>
              <w:rPr>
                <w:rFonts w:cs="Times New Roman"/>
                <w:sz w:val="21"/>
                <w:szCs w:val="21"/>
              </w:rPr>
            </w:pPr>
            <w:r>
              <w:rPr>
                <w:rFonts w:hint="eastAsia" w:cs="Times New Roman"/>
                <w:sz w:val="21"/>
                <w:szCs w:val="21"/>
              </w:rPr>
              <w:t>pH值</w:t>
            </w:r>
          </w:p>
        </w:tc>
        <w:tc>
          <w:tcPr>
            <w:tcW w:w="1270" w:type="dxa"/>
            <w:vAlign w:val="center"/>
          </w:tcPr>
          <w:p>
            <w:pPr>
              <w:pStyle w:val="66"/>
              <w:jc w:val="center"/>
              <w:rPr>
                <w:rFonts w:cs="Times New Roman"/>
                <w:sz w:val="21"/>
                <w:szCs w:val="21"/>
              </w:rPr>
            </w:pPr>
            <w:r>
              <w:rPr>
                <w:rFonts w:hint="eastAsia" w:cs="Times New Roman"/>
                <w:sz w:val="21"/>
                <w:szCs w:val="21"/>
              </w:rPr>
              <w:t>COD</w:t>
            </w:r>
          </w:p>
        </w:tc>
        <w:tc>
          <w:tcPr>
            <w:tcW w:w="1132" w:type="dxa"/>
            <w:vAlign w:val="center"/>
          </w:tcPr>
          <w:p>
            <w:pPr>
              <w:pStyle w:val="66"/>
              <w:jc w:val="center"/>
              <w:rPr>
                <w:rFonts w:cs="Times New Roman"/>
                <w:sz w:val="21"/>
                <w:szCs w:val="21"/>
              </w:rPr>
            </w:pPr>
            <w:r>
              <w:rPr>
                <w:rFonts w:hint="eastAsia" w:cs="Times New Roman"/>
                <w:sz w:val="21"/>
                <w:szCs w:val="21"/>
              </w:rPr>
              <w:t>BOD</w:t>
            </w:r>
            <w:r>
              <w:rPr>
                <w:rFonts w:hint="eastAsia" w:cs="Times New Roman"/>
                <w:sz w:val="21"/>
                <w:szCs w:val="21"/>
                <w:vertAlign w:val="subscript"/>
              </w:rPr>
              <w:t>5</w:t>
            </w:r>
          </w:p>
        </w:tc>
        <w:tc>
          <w:tcPr>
            <w:tcW w:w="1132" w:type="dxa"/>
            <w:vAlign w:val="center"/>
          </w:tcPr>
          <w:p>
            <w:pPr>
              <w:pStyle w:val="66"/>
              <w:jc w:val="center"/>
              <w:rPr>
                <w:rFonts w:cs="Times New Roman"/>
                <w:sz w:val="21"/>
                <w:szCs w:val="21"/>
              </w:rPr>
            </w:pPr>
            <w:r>
              <w:rPr>
                <w:rFonts w:hint="eastAsia" w:cs="Times New Roman"/>
                <w:sz w:val="21"/>
                <w:szCs w:val="21"/>
              </w:rPr>
              <w:t>SS</w:t>
            </w:r>
          </w:p>
        </w:tc>
        <w:tc>
          <w:tcPr>
            <w:tcW w:w="1087" w:type="dxa"/>
            <w:vAlign w:val="center"/>
          </w:tcPr>
          <w:p>
            <w:pPr>
              <w:pStyle w:val="66"/>
              <w:jc w:val="center"/>
              <w:rPr>
                <w:rFonts w:cs="Times New Roman"/>
                <w:sz w:val="21"/>
                <w:szCs w:val="21"/>
              </w:rPr>
            </w:pPr>
            <w:r>
              <w:rPr>
                <w:rFonts w:hint="eastAsia" w:cs="Times New Roman"/>
                <w:sz w:val="21"/>
                <w:szCs w:val="21"/>
              </w:rPr>
              <w:t>NH</w:t>
            </w:r>
            <w:r>
              <w:rPr>
                <w:rFonts w:hint="eastAsia" w:cs="Times New Roman"/>
                <w:sz w:val="21"/>
                <w:szCs w:val="21"/>
                <w:vertAlign w:val="subscript"/>
              </w:rPr>
              <w:t>3</w:t>
            </w:r>
            <w:r>
              <w:rPr>
                <w:rFonts w:hint="eastAsia" w:cs="Times New Roman"/>
                <w:sz w:val="21"/>
                <w:szCs w:val="21"/>
              </w:rPr>
              <w:t>-N</w:t>
            </w:r>
          </w:p>
        </w:tc>
        <w:tc>
          <w:tcPr>
            <w:tcW w:w="992" w:type="dxa"/>
            <w:vAlign w:val="center"/>
          </w:tcPr>
          <w:p>
            <w:pPr>
              <w:pStyle w:val="66"/>
              <w:jc w:val="center"/>
              <w:rPr>
                <w:rFonts w:cs="Times New Roman"/>
                <w:sz w:val="21"/>
                <w:szCs w:val="21"/>
              </w:rPr>
            </w:pPr>
            <w:r>
              <w:rPr>
                <w:rFonts w:hint="eastAsia" w:cs="Times New Roman"/>
                <w:sz w:val="21"/>
                <w:szCs w:val="21"/>
              </w:rPr>
              <w:t>TN</w:t>
            </w:r>
          </w:p>
        </w:tc>
        <w:tc>
          <w:tcPr>
            <w:tcW w:w="1130" w:type="dxa"/>
            <w:vAlign w:val="center"/>
          </w:tcPr>
          <w:p>
            <w:pPr>
              <w:pStyle w:val="66"/>
              <w:jc w:val="center"/>
              <w:rPr>
                <w:rFonts w:cs="Times New Roman"/>
                <w:sz w:val="21"/>
                <w:szCs w:val="21"/>
              </w:rPr>
            </w:pPr>
            <w:r>
              <w:rPr>
                <w:rFonts w:hint="eastAsia" w:cs="Times New Roman"/>
                <w:sz w:val="21"/>
                <w:szCs w:val="21"/>
              </w:rPr>
              <w:t>TP</w:t>
            </w:r>
          </w:p>
        </w:tc>
      </w:tr>
      <w:tr>
        <w:trPr>
          <w:trHeight w:val="454" w:hRule="atLeast"/>
          <w:jc w:val="center"/>
        </w:trPr>
        <w:tc>
          <w:tcPr>
            <w:tcW w:w="843" w:type="dxa"/>
            <w:vAlign w:val="center"/>
          </w:tcPr>
          <w:p>
            <w:pPr>
              <w:pStyle w:val="66"/>
              <w:jc w:val="center"/>
              <w:rPr>
                <w:rFonts w:cs="Times New Roman"/>
                <w:sz w:val="21"/>
                <w:szCs w:val="21"/>
              </w:rPr>
            </w:pPr>
            <w:r>
              <w:rPr>
                <w:rFonts w:hint="eastAsia" w:cs="Times New Roman"/>
                <w:sz w:val="21"/>
                <w:szCs w:val="21"/>
              </w:rPr>
              <w:t>范围</w:t>
            </w:r>
          </w:p>
        </w:tc>
        <w:tc>
          <w:tcPr>
            <w:tcW w:w="936" w:type="dxa"/>
            <w:vAlign w:val="center"/>
          </w:tcPr>
          <w:p>
            <w:pPr>
              <w:pStyle w:val="66"/>
              <w:jc w:val="center"/>
              <w:rPr>
                <w:rFonts w:cs="Times New Roman"/>
                <w:sz w:val="21"/>
                <w:szCs w:val="21"/>
              </w:rPr>
            </w:pPr>
            <w:r>
              <w:rPr>
                <w:rFonts w:hint="eastAsia" w:cs="Times New Roman"/>
                <w:sz w:val="21"/>
                <w:szCs w:val="21"/>
              </w:rPr>
              <w:t>6～8</w:t>
            </w:r>
          </w:p>
        </w:tc>
        <w:tc>
          <w:tcPr>
            <w:tcW w:w="1270" w:type="dxa"/>
            <w:vAlign w:val="center"/>
          </w:tcPr>
          <w:p>
            <w:pPr>
              <w:pStyle w:val="66"/>
              <w:jc w:val="center"/>
              <w:rPr>
                <w:rFonts w:cs="Times New Roman"/>
                <w:sz w:val="21"/>
                <w:szCs w:val="21"/>
              </w:rPr>
            </w:pPr>
            <w:r>
              <w:rPr>
                <w:rFonts w:hint="eastAsia" w:cs="Times New Roman"/>
                <w:sz w:val="21"/>
                <w:szCs w:val="21"/>
              </w:rPr>
              <w:t>200～450</w:t>
            </w:r>
          </w:p>
        </w:tc>
        <w:tc>
          <w:tcPr>
            <w:tcW w:w="1132" w:type="dxa"/>
            <w:vAlign w:val="center"/>
          </w:tcPr>
          <w:p>
            <w:pPr>
              <w:pStyle w:val="66"/>
              <w:jc w:val="center"/>
              <w:rPr>
                <w:rFonts w:cs="Times New Roman"/>
                <w:sz w:val="21"/>
                <w:szCs w:val="21"/>
              </w:rPr>
            </w:pPr>
            <w:r>
              <w:rPr>
                <w:rFonts w:hint="eastAsia" w:cs="Times New Roman"/>
                <w:sz w:val="21"/>
                <w:szCs w:val="21"/>
              </w:rPr>
              <w:t>150～250</w:t>
            </w:r>
          </w:p>
        </w:tc>
        <w:tc>
          <w:tcPr>
            <w:tcW w:w="1132" w:type="dxa"/>
            <w:vAlign w:val="center"/>
          </w:tcPr>
          <w:p>
            <w:pPr>
              <w:pStyle w:val="66"/>
              <w:jc w:val="center"/>
              <w:rPr>
                <w:rFonts w:cs="Times New Roman"/>
                <w:sz w:val="21"/>
                <w:szCs w:val="21"/>
              </w:rPr>
            </w:pPr>
            <w:r>
              <w:rPr>
                <w:rFonts w:hint="eastAsia" w:cs="Times New Roman"/>
                <w:sz w:val="21"/>
                <w:szCs w:val="21"/>
              </w:rPr>
              <w:t>150～250</w:t>
            </w:r>
          </w:p>
        </w:tc>
        <w:tc>
          <w:tcPr>
            <w:tcW w:w="1087" w:type="dxa"/>
            <w:vAlign w:val="center"/>
          </w:tcPr>
          <w:p>
            <w:pPr>
              <w:pStyle w:val="66"/>
              <w:jc w:val="center"/>
              <w:rPr>
                <w:rFonts w:cs="Times New Roman"/>
                <w:sz w:val="21"/>
                <w:szCs w:val="21"/>
              </w:rPr>
            </w:pPr>
            <w:r>
              <w:rPr>
                <w:rFonts w:hint="eastAsia" w:cs="Times New Roman"/>
                <w:sz w:val="21"/>
                <w:szCs w:val="21"/>
              </w:rPr>
              <w:t>20～45</w:t>
            </w:r>
          </w:p>
        </w:tc>
        <w:tc>
          <w:tcPr>
            <w:tcW w:w="992" w:type="dxa"/>
            <w:vAlign w:val="center"/>
          </w:tcPr>
          <w:p>
            <w:pPr>
              <w:pStyle w:val="66"/>
              <w:jc w:val="center"/>
              <w:rPr>
                <w:rFonts w:cs="Times New Roman"/>
                <w:sz w:val="21"/>
                <w:szCs w:val="21"/>
              </w:rPr>
            </w:pPr>
            <w:r>
              <w:rPr>
                <w:rFonts w:hint="eastAsia" w:cs="Times New Roman"/>
                <w:sz w:val="21"/>
                <w:szCs w:val="21"/>
              </w:rPr>
              <w:t>30～60</w:t>
            </w:r>
          </w:p>
        </w:tc>
        <w:tc>
          <w:tcPr>
            <w:tcW w:w="1130" w:type="dxa"/>
            <w:vAlign w:val="center"/>
          </w:tcPr>
          <w:p>
            <w:pPr>
              <w:pStyle w:val="66"/>
              <w:jc w:val="both"/>
              <w:rPr>
                <w:rFonts w:cs="Times New Roman"/>
                <w:sz w:val="21"/>
                <w:szCs w:val="21"/>
              </w:rPr>
            </w:pPr>
            <w:r>
              <w:rPr>
                <w:rFonts w:hint="eastAsia" w:cs="Times New Roman"/>
                <w:sz w:val="21"/>
                <w:szCs w:val="21"/>
              </w:rPr>
              <w:t>3.0～6.0</w:t>
            </w:r>
          </w:p>
        </w:tc>
      </w:tr>
    </w:tbl>
    <w:p>
      <w:pPr>
        <w:pStyle w:val="3"/>
      </w:pPr>
    </w:p>
    <w:p>
      <w:pPr>
        <w:spacing w:before="156" w:beforeLines="50" w:after="156" w:afterLines="50" w:line="240" w:lineRule="exact"/>
        <w:jc w:val="center"/>
        <w:rPr>
          <w:b/>
          <w:szCs w:val="21"/>
        </w:rPr>
      </w:pPr>
      <w:r>
        <w:rPr>
          <w:rFonts w:hint="eastAsia"/>
          <w:b/>
          <w:szCs w:val="21"/>
        </w:rPr>
        <w:t xml:space="preserve">表1.1.2 </w:t>
      </w:r>
      <w:r>
        <w:rPr>
          <w:b/>
          <w:szCs w:val="21"/>
        </w:rPr>
        <w:t xml:space="preserve"> </w:t>
      </w:r>
      <w:r>
        <w:rPr>
          <w:rFonts w:hint="eastAsia"/>
          <w:b/>
          <w:szCs w:val="21"/>
        </w:rPr>
        <w:t>出</w:t>
      </w:r>
      <w:r>
        <w:rPr>
          <w:b/>
          <w:szCs w:val="21"/>
        </w:rPr>
        <w:t>水水质</w:t>
      </w:r>
      <w:r>
        <w:rPr>
          <w:rFonts w:hint="eastAsia"/>
          <w:b/>
          <w:szCs w:val="21"/>
        </w:rPr>
        <w:t>表基本控制项目排放限值   单位为mg/L</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9"/>
        <w:gridCol w:w="1121"/>
        <w:gridCol w:w="1358"/>
        <w:gridCol w:w="1833"/>
        <w:gridCol w:w="1835"/>
      </w:tblGrid>
      <w:tr>
        <w:trPr>
          <w:trHeight w:val="402" w:hRule="atLeast"/>
        </w:trPr>
        <w:tc>
          <w:tcPr>
            <w:tcW w:w="636" w:type="dxa"/>
            <w:vMerge w:val="restart"/>
            <w:noWrap/>
            <w:vAlign w:val="center"/>
          </w:tcPr>
          <w:p>
            <w:pPr>
              <w:widowControl/>
              <w:jc w:val="center"/>
              <w:rPr>
                <w:rFonts w:ascii="仿宋" w:hAnsi="仿宋" w:eastAsia="仿宋"/>
                <w:kern w:val="0"/>
                <w:szCs w:val="21"/>
              </w:rPr>
            </w:pPr>
            <w:r>
              <w:rPr>
                <w:rFonts w:hint="eastAsia" w:ascii="仿宋" w:hAnsi="仿宋" w:eastAsia="仿宋"/>
                <w:kern w:val="0"/>
                <w:szCs w:val="21"/>
              </w:rPr>
              <w:t>序号</w:t>
            </w:r>
          </w:p>
        </w:tc>
        <w:tc>
          <w:tcPr>
            <w:tcW w:w="1739" w:type="dxa"/>
            <w:vMerge w:val="restart"/>
            <w:noWrap/>
            <w:vAlign w:val="center"/>
          </w:tcPr>
          <w:p>
            <w:pPr>
              <w:widowControl/>
              <w:jc w:val="center"/>
              <w:rPr>
                <w:rFonts w:ascii="仿宋" w:hAnsi="仿宋" w:eastAsia="仿宋"/>
                <w:kern w:val="0"/>
                <w:szCs w:val="21"/>
              </w:rPr>
            </w:pPr>
            <w:r>
              <w:rPr>
                <w:rFonts w:hint="eastAsia" w:ascii="仿宋" w:hAnsi="仿宋" w:eastAsia="仿宋"/>
                <w:kern w:val="0"/>
                <w:szCs w:val="21"/>
              </w:rPr>
              <w:t>控制项目</w:t>
            </w:r>
          </w:p>
        </w:tc>
        <w:tc>
          <w:tcPr>
            <w:tcW w:w="2479" w:type="dxa"/>
            <w:gridSpan w:val="2"/>
            <w:noWrap/>
            <w:vAlign w:val="center"/>
          </w:tcPr>
          <w:p>
            <w:pPr>
              <w:widowControl/>
              <w:jc w:val="center"/>
              <w:rPr>
                <w:rFonts w:ascii="仿宋" w:hAnsi="仿宋" w:eastAsia="仿宋"/>
                <w:kern w:val="0"/>
                <w:szCs w:val="21"/>
              </w:rPr>
            </w:pPr>
            <w:r>
              <w:rPr>
                <w:rFonts w:hint="eastAsia" w:ascii="仿宋" w:hAnsi="仿宋" w:eastAsia="仿宋"/>
                <w:kern w:val="0"/>
                <w:szCs w:val="21"/>
              </w:rPr>
              <w:t>一级标准</w:t>
            </w:r>
          </w:p>
        </w:tc>
        <w:tc>
          <w:tcPr>
            <w:tcW w:w="1833" w:type="dxa"/>
            <w:vMerge w:val="restart"/>
            <w:vAlign w:val="center"/>
          </w:tcPr>
          <w:p>
            <w:pPr>
              <w:widowControl/>
              <w:jc w:val="center"/>
              <w:rPr>
                <w:rFonts w:ascii="仿宋" w:hAnsi="仿宋" w:eastAsia="仿宋"/>
                <w:kern w:val="0"/>
                <w:szCs w:val="21"/>
              </w:rPr>
            </w:pPr>
            <w:r>
              <w:rPr>
                <w:rFonts w:hint="eastAsia" w:ascii="仿宋" w:hAnsi="仿宋" w:eastAsia="仿宋"/>
                <w:kern w:val="0"/>
                <w:szCs w:val="21"/>
              </w:rPr>
              <w:t>二级标准</w:t>
            </w:r>
          </w:p>
        </w:tc>
        <w:tc>
          <w:tcPr>
            <w:tcW w:w="1835" w:type="dxa"/>
            <w:vMerge w:val="restart"/>
            <w:noWrap/>
            <w:vAlign w:val="center"/>
          </w:tcPr>
          <w:p>
            <w:pPr>
              <w:widowControl/>
              <w:jc w:val="center"/>
              <w:rPr>
                <w:rFonts w:ascii="仿宋" w:hAnsi="仿宋" w:eastAsia="仿宋"/>
                <w:kern w:val="0"/>
                <w:szCs w:val="21"/>
              </w:rPr>
            </w:pPr>
            <w:r>
              <w:rPr>
                <w:rFonts w:hint="eastAsia" w:ascii="仿宋" w:hAnsi="仿宋" w:eastAsia="仿宋"/>
                <w:kern w:val="0"/>
                <w:szCs w:val="21"/>
              </w:rPr>
              <w:t>三级标准</w:t>
            </w:r>
          </w:p>
        </w:tc>
      </w:tr>
      <w:tr>
        <w:trPr>
          <w:trHeight w:val="367" w:hRule="atLeast"/>
        </w:trPr>
        <w:tc>
          <w:tcPr>
            <w:tcW w:w="636" w:type="dxa"/>
            <w:vMerge w:val="continue"/>
            <w:vAlign w:val="center"/>
          </w:tcPr>
          <w:p>
            <w:pPr>
              <w:widowControl/>
              <w:rPr>
                <w:rFonts w:ascii="仿宋" w:hAnsi="仿宋" w:eastAsia="仿宋"/>
                <w:kern w:val="0"/>
                <w:szCs w:val="21"/>
              </w:rPr>
            </w:pPr>
          </w:p>
        </w:tc>
        <w:tc>
          <w:tcPr>
            <w:tcW w:w="1739" w:type="dxa"/>
            <w:vMerge w:val="continue"/>
            <w:vAlign w:val="center"/>
          </w:tcPr>
          <w:p>
            <w:pPr>
              <w:widowControl/>
              <w:rPr>
                <w:rFonts w:ascii="仿宋" w:hAnsi="仿宋" w:eastAsia="仿宋"/>
                <w:kern w:val="0"/>
                <w:szCs w:val="21"/>
              </w:rPr>
            </w:pPr>
          </w:p>
        </w:tc>
        <w:tc>
          <w:tcPr>
            <w:tcW w:w="1121" w:type="dxa"/>
            <w:noWrap/>
            <w:vAlign w:val="center"/>
          </w:tcPr>
          <w:p>
            <w:pPr>
              <w:widowControl/>
              <w:jc w:val="center"/>
              <w:rPr>
                <w:rFonts w:ascii="仿宋" w:hAnsi="仿宋" w:eastAsia="仿宋"/>
                <w:kern w:val="0"/>
                <w:szCs w:val="21"/>
              </w:rPr>
            </w:pPr>
            <w:r>
              <w:rPr>
                <w:rFonts w:hint="eastAsia" w:ascii="仿宋" w:hAnsi="仿宋" w:eastAsia="仿宋"/>
                <w:kern w:val="0"/>
                <w:szCs w:val="21"/>
              </w:rPr>
              <w:t>A标准</w:t>
            </w:r>
          </w:p>
        </w:tc>
        <w:tc>
          <w:tcPr>
            <w:tcW w:w="1358" w:type="dxa"/>
            <w:noWrap/>
            <w:vAlign w:val="center"/>
          </w:tcPr>
          <w:p>
            <w:pPr>
              <w:widowControl/>
              <w:jc w:val="center"/>
              <w:rPr>
                <w:rFonts w:ascii="仿宋" w:hAnsi="仿宋" w:eastAsia="仿宋"/>
                <w:kern w:val="0"/>
                <w:szCs w:val="21"/>
              </w:rPr>
            </w:pPr>
            <w:r>
              <w:rPr>
                <w:rFonts w:hint="eastAsia" w:ascii="仿宋" w:hAnsi="仿宋" w:eastAsia="仿宋"/>
                <w:kern w:val="0"/>
                <w:szCs w:val="21"/>
              </w:rPr>
              <w:t>B标准</w:t>
            </w:r>
          </w:p>
        </w:tc>
        <w:tc>
          <w:tcPr>
            <w:tcW w:w="1833" w:type="dxa"/>
            <w:vMerge w:val="continue"/>
          </w:tcPr>
          <w:p>
            <w:pPr>
              <w:widowControl/>
              <w:rPr>
                <w:rFonts w:ascii="仿宋" w:hAnsi="仿宋" w:eastAsia="仿宋"/>
                <w:kern w:val="0"/>
                <w:szCs w:val="21"/>
              </w:rPr>
            </w:pPr>
          </w:p>
        </w:tc>
        <w:tc>
          <w:tcPr>
            <w:tcW w:w="1835" w:type="dxa"/>
            <w:vMerge w:val="continue"/>
            <w:vAlign w:val="center"/>
          </w:tcPr>
          <w:p>
            <w:pPr>
              <w:widowControl/>
              <w:rPr>
                <w:rFonts w:ascii="仿宋" w:hAnsi="仿宋" w:eastAsia="仿宋"/>
                <w:kern w:val="0"/>
                <w:szCs w:val="21"/>
              </w:rPr>
            </w:pPr>
          </w:p>
        </w:tc>
      </w:tr>
      <w:tr>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1</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P</w:t>
            </w:r>
            <w:r>
              <w:rPr>
                <w:rFonts w:ascii="仿宋" w:hAnsi="仿宋" w:eastAsia="仿宋"/>
                <w:kern w:val="0"/>
                <w:szCs w:val="21"/>
              </w:rPr>
              <w:t>H</w:t>
            </w:r>
          </w:p>
        </w:tc>
        <w:tc>
          <w:tcPr>
            <w:tcW w:w="6147" w:type="dxa"/>
            <w:gridSpan w:val="4"/>
            <w:noWrap/>
            <w:vAlign w:val="center"/>
          </w:tcPr>
          <w:p>
            <w:pPr>
              <w:widowControl/>
              <w:jc w:val="center"/>
              <w:rPr>
                <w:rFonts w:ascii="仿宋" w:hAnsi="仿宋" w:eastAsia="仿宋"/>
                <w:kern w:val="0"/>
                <w:szCs w:val="21"/>
              </w:rPr>
            </w:pPr>
            <w:r>
              <w:rPr>
                <w:rFonts w:hint="eastAsia" w:ascii="仿宋" w:hAnsi="仿宋" w:eastAsia="仿宋"/>
                <w:kern w:val="0"/>
                <w:szCs w:val="21"/>
              </w:rPr>
              <w:t>6</w:t>
            </w:r>
            <w:r>
              <w:rPr>
                <w:rFonts w:ascii="仿宋" w:hAnsi="仿宋" w:eastAsia="仿宋"/>
                <w:kern w:val="0"/>
                <w:szCs w:val="21"/>
              </w:rPr>
              <w:t>-9</w:t>
            </w:r>
          </w:p>
        </w:tc>
      </w:tr>
      <w:tr>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2</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C</w:t>
            </w:r>
            <w:r>
              <w:rPr>
                <w:rFonts w:ascii="仿宋" w:hAnsi="仿宋" w:eastAsia="仿宋"/>
                <w:kern w:val="0"/>
                <w:szCs w:val="21"/>
              </w:rPr>
              <w:t>OD</w:t>
            </w:r>
          </w:p>
        </w:tc>
        <w:tc>
          <w:tcPr>
            <w:tcW w:w="1121"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50</w:t>
            </w:r>
          </w:p>
        </w:tc>
        <w:tc>
          <w:tcPr>
            <w:tcW w:w="1358"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60</w:t>
            </w:r>
          </w:p>
        </w:tc>
        <w:tc>
          <w:tcPr>
            <w:tcW w:w="1833" w:type="dxa"/>
          </w:tcPr>
          <w:p>
            <w:pPr>
              <w:widowControl/>
              <w:jc w:val="center"/>
              <w:rPr>
                <w:rFonts w:ascii="仿宋" w:hAnsi="仿宋" w:eastAsia="仿宋"/>
                <w:color w:val="FF0000"/>
                <w:kern w:val="0"/>
                <w:szCs w:val="21"/>
              </w:rPr>
            </w:pPr>
            <w:r>
              <w:rPr>
                <w:rFonts w:hint="eastAsia" w:ascii="仿宋" w:hAnsi="仿宋" w:eastAsia="仿宋"/>
                <w:color w:val="FF0000"/>
                <w:kern w:val="0"/>
                <w:szCs w:val="21"/>
              </w:rPr>
              <w:t>1</w:t>
            </w:r>
            <w:r>
              <w:rPr>
                <w:rFonts w:ascii="仿宋" w:hAnsi="仿宋" w:eastAsia="仿宋"/>
                <w:color w:val="FF0000"/>
                <w:kern w:val="0"/>
                <w:szCs w:val="21"/>
              </w:rPr>
              <w:t>00</w:t>
            </w:r>
          </w:p>
        </w:tc>
        <w:tc>
          <w:tcPr>
            <w:tcW w:w="1835"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1</w:t>
            </w:r>
            <w:r>
              <w:rPr>
                <w:rFonts w:ascii="仿宋" w:hAnsi="仿宋" w:eastAsia="仿宋"/>
                <w:color w:val="FF0000"/>
                <w:kern w:val="0"/>
                <w:szCs w:val="21"/>
              </w:rPr>
              <w:t>20</w:t>
            </w:r>
          </w:p>
        </w:tc>
      </w:tr>
      <w:tr>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3</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S</w:t>
            </w:r>
            <w:r>
              <w:rPr>
                <w:rFonts w:ascii="仿宋" w:hAnsi="仿宋" w:eastAsia="仿宋"/>
                <w:kern w:val="0"/>
                <w:szCs w:val="21"/>
              </w:rPr>
              <w:t>S</w:t>
            </w:r>
          </w:p>
        </w:tc>
        <w:tc>
          <w:tcPr>
            <w:tcW w:w="1121"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10</w:t>
            </w:r>
          </w:p>
        </w:tc>
        <w:tc>
          <w:tcPr>
            <w:tcW w:w="1358"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20</w:t>
            </w:r>
          </w:p>
        </w:tc>
        <w:tc>
          <w:tcPr>
            <w:tcW w:w="1833" w:type="dxa"/>
          </w:tcPr>
          <w:p>
            <w:pPr>
              <w:widowControl/>
              <w:jc w:val="center"/>
              <w:rPr>
                <w:rFonts w:ascii="仿宋" w:hAnsi="仿宋" w:eastAsia="仿宋"/>
                <w:color w:val="FF0000"/>
                <w:kern w:val="0"/>
                <w:szCs w:val="21"/>
              </w:rPr>
            </w:pPr>
            <w:r>
              <w:rPr>
                <w:rFonts w:hint="eastAsia" w:ascii="仿宋" w:hAnsi="仿宋" w:eastAsia="仿宋"/>
                <w:color w:val="FF0000"/>
                <w:kern w:val="0"/>
                <w:szCs w:val="21"/>
              </w:rPr>
              <w:t>3</w:t>
            </w:r>
            <w:r>
              <w:rPr>
                <w:rFonts w:ascii="仿宋" w:hAnsi="仿宋" w:eastAsia="仿宋"/>
                <w:color w:val="FF0000"/>
                <w:kern w:val="0"/>
                <w:szCs w:val="21"/>
              </w:rPr>
              <w:t>0</w:t>
            </w:r>
          </w:p>
        </w:tc>
        <w:tc>
          <w:tcPr>
            <w:tcW w:w="1835"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5</w:t>
            </w:r>
            <w:r>
              <w:rPr>
                <w:rFonts w:ascii="仿宋" w:hAnsi="仿宋" w:eastAsia="仿宋"/>
                <w:color w:val="FF0000"/>
                <w:kern w:val="0"/>
                <w:szCs w:val="21"/>
              </w:rPr>
              <w:t>0</w:t>
            </w:r>
          </w:p>
        </w:tc>
      </w:tr>
      <w:tr>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4</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N</w:t>
            </w:r>
            <w:r>
              <w:rPr>
                <w:rFonts w:ascii="仿宋" w:hAnsi="仿宋" w:eastAsia="仿宋"/>
                <w:kern w:val="0"/>
                <w:szCs w:val="21"/>
              </w:rPr>
              <w:t>H</w:t>
            </w:r>
            <w:r>
              <w:rPr>
                <w:rFonts w:ascii="仿宋" w:hAnsi="仿宋" w:eastAsia="仿宋"/>
                <w:kern w:val="0"/>
                <w:szCs w:val="21"/>
                <w:vertAlign w:val="subscript"/>
              </w:rPr>
              <w:t>3</w:t>
            </w:r>
            <w:r>
              <w:rPr>
                <w:rFonts w:ascii="仿宋" w:hAnsi="仿宋" w:eastAsia="仿宋"/>
                <w:kern w:val="0"/>
                <w:szCs w:val="21"/>
              </w:rPr>
              <w:t>-N</w:t>
            </w:r>
            <w:r>
              <w:rPr>
                <w:rFonts w:hint="eastAsia" w:ascii="仿宋" w:hAnsi="仿宋" w:eastAsia="仿宋"/>
                <w:kern w:val="0"/>
                <w:szCs w:val="21"/>
              </w:rPr>
              <w:t>（以N计）</w:t>
            </w:r>
          </w:p>
        </w:tc>
        <w:tc>
          <w:tcPr>
            <w:tcW w:w="1121"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5（8）</w:t>
            </w:r>
          </w:p>
        </w:tc>
        <w:tc>
          <w:tcPr>
            <w:tcW w:w="1358"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8（15）</w:t>
            </w:r>
          </w:p>
        </w:tc>
        <w:tc>
          <w:tcPr>
            <w:tcW w:w="1833" w:type="dxa"/>
          </w:tcPr>
          <w:p>
            <w:pPr>
              <w:widowControl/>
              <w:jc w:val="center"/>
              <w:rPr>
                <w:rFonts w:ascii="仿宋" w:hAnsi="仿宋" w:eastAsia="仿宋"/>
                <w:color w:val="FF0000"/>
                <w:kern w:val="0"/>
                <w:szCs w:val="21"/>
              </w:rPr>
            </w:pPr>
            <w:r>
              <w:rPr>
                <w:rFonts w:hint="eastAsia" w:ascii="仿宋" w:hAnsi="仿宋" w:eastAsia="仿宋"/>
                <w:color w:val="FF0000"/>
                <w:kern w:val="0"/>
                <w:szCs w:val="21"/>
              </w:rPr>
              <w:t>25（30）</w:t>
            </w:r>
          </w:p>
        </w:tc>
        <w:tc>
          <w:tcPr>
            <w:tcW w:w="1835"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w:t>
            </w:r>
          </w:p>
        </w:tc>
      </w:tr>
      <w:tr>
        <w:trPr>
          <w:trHeight w:val="397"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5</w:t>
            </w:r>
          </w:p>
        </w:tc>
        <w:tc>
          <w:tcPr>
            <w:tcW w:w="1739" w:type="dxa"/>
            <w:noWrap/>
            <w:vAlign w:val="center"/>
          </w:tcPr>
          <w:p>
            <w:pPr>
              <w:widowControl/>
              <w:jc w:val="center"/>
              <w:rPr>
                <w:rFonts w:ascii="仿宋" w:hAnsi="仿宋" w:eastAsia="仿宋"/>
                <w:kern w:val="0"/>
                <w:szCs w:val="21"/>
              </w:rPr>
            </w:pPr>
            <w:r>
              <w:rPr>
                <w:rFonts w:hint="eastAsia" w:ascii="仿宋" w:hAnsi="仿宋" w:eastAsia="仿宋"/>
                <w:kern w:val="0"/>
                <w:szCs w:val="21"/>
              </w:rPr>
              <w:t>T</w:t>
            </w:r>
            <w:r>
              <w:rPr>
                <w:rFonts w:ascii="仿宋" w:hAnsi="仿宋" w:eastAsia="仿宋"/>
                <w:kern w:val="0"/>
                <w:szCs w:val="21"/>
              </w:rPr>
              <w:t>N</w:t>
            </w:r>
            <w:r>
              <w:rPr>
                <w:rFonts w:hint="eastAsia" w:ascii="仿宋" w:hAnsi="仿宋" w:eastAsia="仿宋"/>
                <w:kern w:val="0"/>
                <w:szCs w:val="21"/>
              </w:rPr>
              <w:t>（以N计）</w:t>
            </w:r>
          </w:p>
        </w:tc>
        <w:tc>
          <w:tcPr>
            <w:tcW w:w="1121"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15</w:t>
            </w:r>
          </w:p>
        </w:tc>
        <w:tc>
          <w:tcPr>
            <w:tcW w:w="1358"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20</w:t>
            </w:r>
          </w:p>
        </w:tc>
        <w:tc>
          <w:tcPr>
            <w:tcW w:w="1833"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w:t>
            </w:r>
          </w:p>
        </w:tc>
        <w:tc>
          <w:tcPr>
            <w:tcW w:w="1835" w:type="dxa"/>
            <w:noWrap/>
          </w:tcPr>
          <w:p>
            <w:pPr>
              <w:widowControl/>
              <w:jc w:val="center"/>
              <w:rPr>
                <w:rFonts w:ascii="仿宋" w:hAnsi="仿宋" w:eastAsia="仿宋"/>
                <w:color w:val="FF0000"/>
                <w:kern w:val="0"/>
                <w:szCs w:val="21"/>
              </w:rPr>
            </w:pPr>
            <w:r>
              <w:rPr>
                <w:rFonts w:hint="eastAsia" w:ascii="仿宋" w:hAnsi="仿宋" w:eastAsia="仿宋"/>
                <w:color w:val="FF0000"/>
                <w:kern w:val="0"/>
                <w:szCs w:val="21"/>
              </w:rPr>
              <w:t>/</w:t>
            </w:r>
          </w:p>
        </w:tc>
      </w:tr>
      <w:tr>
        <w:trPr>
          <w:trHeight w:val="491" w:hRule="exact"/>
        </w:trPr>
        <w:tc>
          <w:tcPr>
            <w:tcW w:w="636" w:type="dxa"/>
            <w:noWrap/>
            <w:vAlign w:val="center"/>
          </w:tcPr>
          <w:p>
            <w:pPr>
              <w:widowControl/>
              <w:jc w:val="center"/>
              <w:rPr>
                <w:rFonts w:ascii="仿宋" w:hAnsi="仿宋" w:eastAsia="仿宋"/>
                <w:kern w:val="0"/>
                <w:szCs w:val="21"/>
              </w:rPr>
            </w:pPr>
            <w:r>
              <w:rPr>
                <w:rFonts w:hint="eastAsia" w:ascii="仿宋" w:hAnsi="仿宋" w:eastAsia="仿宋"/>
                <w:kern w:val="0"/>
                <w:szCs w:val="21"/>
              </w:rPr>
              <w:t>6</w:t>
            </w:r>
          </w:p>
        </w:tc>
        <w:tc>
          <w:tcPr>
            <w:tcW w:w="1739" w:type="dxa"/>
            <w:noWrap/>
            <w:vAlign w:val="center"/>
          </w:tcPr>
          <w:p>
            <w:pPr>
              <w:widowControl/>
              <w:jc w:val="center"/>
              <w:rPr>
                <w:rFonts w:ascii="仿宋" w:hAnsi="仿宋" w:eastAsia="仿宋"/>
                <w:kern w:val="0"/>
                <w:szCs w:val="21"/>
              </w:rPr>
            </w:pPr>
            <w:r>
              <w:rPr>
                <w:rFonts w:ascii="仿宋" w:hAnsi="仿宋" w:eastAsia="仿宋"/>
                <w:kern w:val="0"/>
                <w:szCs w:val="21"/>
              </w:rPr>
              <w:t>TP</w:t>
            </w:r>
            <w:r>
              <w:rPr>
                <w:rFonts w:hint="eastAsia" w:ascii="仿宋" w:hAnsi="仿宋" w:eastAsia="仿宋"/>
                <w:kern w:val="0"/>
                <w:szCs w:val="21"/>
              </w:rPr>
              <w:t>（以P计）</w:t>
            </w:r>
          </w:p>
        </w:tc>
        <w:tc>
          <w:tcPr>
            <w:tcW w:w="1121"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0.5</w:t>
            </w:r>
          </w:p>
        </w:tc>
        <w:tc>
          <w:tcPr>
            <w:tcW w:w="1358"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1</w:t>
            </w:r>
          </w:p>
        </w:tc>
        <w:tc>
          <w:tcPr>
            <w:tcW w:w="1833"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3</w:t>
            </w:r>
          </w:p>
        </w:tc>
        <w:tc>
          <w:tcPr>
            <w:tcW w:w="1835" w:type="dxa"/>
            <w:noWrap/>
            <w:vAlign w:val="center"/>
          </w:tcPr>
          <w:p>
            <w:pPr>
              <w:widowControl/>
              <w:jc w:val="center"/>
              <w:rPr>
                <w:rFonts w:ascii="仿宋" w:hAnsi="仿宋" w:eastAsia="仿宋"/>
                <w:color w:val="FF0000"/>
                <w:kern w:val="0"/>
                <w:szCs w:val="21"/>
              </w:rPr>
            </w:pPr>
            <w:r>
              <w:rPr>
                <w:rFonts w:hint="eastAsia" w:ascii="仿宋" w:hAnsi="仿宋" w:eastAsia="仿宋"/>
                <w:color w:val="FF0000"/>
                <w:kern w:val="0"/>
                <w:szCs w:val="21"/>
              </w:rPr>
              <w:t>5</w:t>
            </w:r>
          </w:p>
        </w:tc>
      </w:tr>
      <w:tr>
        <w:trPr>
          <w:trHeight w:val="490" w:hRule="exact"/>
        </w:trPr>
        <w:tc>
          <w:tcPr>
            <w:tcW w:w="8522" w:type="dxa"/>
            <w:gridSpan w:val="6"/>
            <w:noWrap/>
            <w:vAlign w:val="center"/>
          </w:tcPr>
          <w:p>
            <w:pPr>
              <w:widowControl/>
              <w:rPr>
                <w:rFonts w:ascii="仿宋" w:hAnsi="仿宋" w:eastAsia="仿宋"/>
                <w:kern w:val="0"/>
                <w:szCs w:val="21"/>
              </w:rPr>
            </w:pPr>
            <w:r>
              <w:rPr>
                <w:rFonts w:hint="eastAsia" w:ascii="仿宋" w:hAnsi="仿宋" w:eastAsia="仿宋"/>
                <w:kern w:val="0"/>
                <w:szCs w:val="21"/>
              </w:rPr>
              <w:t>设计日处理能力＜5m³的农村生活污水处理设施不考虑总氨和总磷。</w:t>
            </w:r>
          </w:p>
          <w:p>
            <w:pPr>
              <w:widowControl/>
              <w:jc w:val="center"/>
              <w:rPr>
                <w:rFonts w:ascii="仿宋" w:hAnsi="仿宋" w:eastAsia="仿宋"/>
                <w:kern w:val="0"/>
                <w:szCs w:val="21"/>
              </w:rPr>
            </w:pPr>
          </w:p>
        </w:tc>
      </w:tr>
      <w:tr>
        <w:trPr>
          <w:trHeight w:val="1966" w:hRule="exact"/>
        </w:trPr>
        <w:tc>
          <w:tcPr>
            <w:tcW w:w="8522" w:type="dxa"/>
            <w:gridSpan w:val="6"/>
            <w:noWrap/>
            <w:vAlign w:val="center"/>
          </w:tcPr>
          <w:p>
            <w:pPr>
              <w:widowControl/>
              <w:rPr>
                <w:rFonts w:ascii="仿宋" w:hAnsi="仿宋" w:eastAsia="仿宋"/>
                <w:kern w:val="0"/>
                <w:szCs w:val="21"/>
              </w:rPr>
            </w:pPr>
            <w:r>
              <w:rPr>
                <w:rFonts w:hint="eastAsia" w:ascii="仿宋" w:hAnsi="仿宋" w:eastAsia="仿宋"/>
                <w:kern w:val="0"/>
                <w:szCs w:val="21"/>
              </w:rPr>
              <w:t>a括号外数值为水温＞12℃时的排放限值，括号内数值为水温≤12℃时的排放限值</w:t>
            </w:r>
          </w:p>
          <w:p>
            <w:pPr>
              <w:widowControl/>
              <w:rPr>
                <w:rFonts w:ascii="仿宋" w:hAnsi="仿宋" w:eastAsia="仿宋"/>
                <w:kern w:val="0"/>
                <w:szCs w:val="21"/>
              </w:rPr>
            </w:pPr>
            <w:r>
              <w:rPr>
                <w:rFonts w:hint="eastAsia" w:ascii="仿宋" w:hAnsi="仿宋" w:eastAsia="仿宋"/>
                <w:kern w:val="0"/>
                <w:szCs w:val="21"/>
              </w:rPr>
              <w:t>b针对排放对象为封闭、半封闭水体（含湖库、池塘、端头滨）或超标因子为氯的不达标水体。</w:t>
            </w:r>
          </w:p>
          <w:p>
            <w:pPr>
              <w:widowControl/>
              <w:rPr>
                <w:rFonts w:ascii="仿宋" w:hAnsi="仿宋" w:eastAsia="仿宋"/>
                <w:kern w:val="0"/>
                <w:szCs w:val="21"/>
              </w:rPr>
            </w:pPr>
            <w:r>
              <w:rPr>
                <w:rFonts w:hint="eastAsia" w:ascii="仿宋" w:hAnsi="仿宋" w:eastAsia="仿宋"/>
                <w:kern w:val="0"/>
                <w:szCs w:val="21"/>
              </w:rPr>
              <w:t>c针对排放对象为封闭、半封闭水体（含湖库、池塘、端头滨）或超标因子为磷的不达标水体。</w:t>
            </w:r>
          </w:p>
          <w:p>
            <w:pPr>
              <w:widowControl/>
              <w:rPr>
                <w:rFonts w:ascii="仿宋" w:hAnsi="仿宋" w:eastAsia="仿宋"/>
                <w:kern w:val="0"/>
                <w:szCs w:val="21"/>
              </w:rPr>
            </w:pPr>
            <w:r>
              <w:rPr>
                <w:rFonts w:hint="eastAsia" w:ascii="仿宋" w:hAnsi="仿宋" w:eastAsia="仿宋"/>
                <w:kern w:val="0"/>
                <w:szCs w:val="21"/>
              </w:rPr>
              <w:t>d针对接纳餐饮废水的农村生活污水处理设施。</w:t>
            </w:r>
          </w:p>
          <w:p>
            <w:pPr>
              <w:pStyle w:val="3"/>
              <w:rPr>
                <w:rFonts w:ascii="仿宋" w:hAnsi="仿宋" w:eastAsia="仿宋"/>
                <w:szCs w:val="21"/>
              </w:rPr>
            </w:pPr>
          </w:p>
        </w:tc>
      </w:tr>
    </w:tbl>
    <w:p>
      <w:pPr>
        <w:jc w:val="left"/>
        <w:rPr>
          <w:rFonts w:ascii="仿宋" w:hAnsi="仿宋" w:eastAsia="仿宋" w:cs="仿宋"/>
          <w:kern w:val="0"/>
          <w:sz w:val="32"/>
          <w:szCs w:val="32"/>
        </w:rPr>
      </w:pPr>
    </w:p>
    <w:p>
      <w:pPr>
        <w:jc w:val="left"/>
        <w:rPr>
          <w:rFonts w:ascii="仿宋" w:hAnsi="仿宋" w:eastAsia="仿宋" w:cs="仿宋"/>
          <w:kern w:val="0"/>
          <w:sz w:val="32"/>
          <w:szCs w:val="32"/>
        </w:rPr>
      </w:pPr>
      <w:r>
        <w:rPr>
          <w:rFonts w:hint="eastAsia" w:ascii="仿宋" w:hAnsi="仿宋" w:eastAsia="仿宋" w:cs="仿宋"/>
          <w:kern w:val="0"/>
          <w:sz w:val="32"/>
          <w:szCs w:val="32"/>
        </w:rPr>
        <w:br w:type="page"/>
      </w:r>
    </w:p>
    <w:p>
      <w:pPr>
        <w:jc w:val="left"/>
        <w:rPr>
          <w:rFonts w:ascii="仿宋" w:hAnsi="仿宋" w:eastAsia="仿宋" w:cs="仿宋"/>
          <w:kern w:val="0"/>
          <w:sz w:val="32"/>
          <w:szCs w:val="32"/>
        </w:rPr>
      </w:pPr>
    </w:p>
    <w:p>
      <w:pPr>
        <w:jc w:val="left"/>
        <w:rPr>
          <w:rFonts w:ascii="仿宋" w:hAnsi="仿宋" w:eastAsia="仿宋" w:cs="仿宋"/>
          <w:kern w:val="0"/>
          <w:sz w:val="32"/>
          <w:szCs w:val="32"/>
        </w:rPr>
      </w:pPr>
      <w:r>
        <w:rPr>
          <w:rFonts w:hint="eastAsia" w:ascii="仿宋" w:hAnsi="仿宋" w:eastAsia="仿宋" w:cs="仿宋"/>
          <w:kern w:val="0"/>
          <w:sz w:val="32"/>
          <w:szCs w:val="32"/>
        </w:rPr>
        <w:t>附件2</w:t>
      </w:r>
    </w:p>
    <w:p>
      <w:pPr>
        <w:spacing w:line="360" w:lineRule="auto"/>
        <w:jc w:val="center"/>
        <w:rPr>
          <w:rFonts w:ascii="黑体" w:hAnsi="黑体" w:eastAsia="黑体" w:cs="黑体"/>
          <w:b/>
          <w:bCs/>
          <w:sz w:val="52"/>
          <w:szCs w:val="52"/>
        </w:rPr>
      </w:pPr>
      <w:r>
        <w:rPr>
          <w:rFonts w:hint="eastAsia" w:ascii="黑体" w:hAnsi="黑体" w:eastAsia="黑体" w:cs="黑体"/>
          <w:b/>
          <w:bCs/>
          <w:sz w:val="52"/>
          <w:szCs w:val="52"/>
        </w:rPr>
        <w:t>采 购 合 同</w:t>
      </w:r>
    </w:p>
    <w:p>
      <w:pPr>
        <w:pStyle w:val="65"/>
        <w:spacing w:line="360" w:lineRule="auto"/>
      </w:pPr>
    </w:p>
    <w:p>
      <w:pPr>
        <w:spacing w:line="360" w:lineRule="auto"/>
        <w:jc w:val="left"/>
        <w:rPr>
          <w:rFonts w:hAnsi="宋体"/>
          <w:b/>
          <w:sz w:val="28"/>
          <w:szCs w:val="30"/>
        </w:rPr>
      </w:pPr>
      <w:r>
        <w:rPr>
          <w:rFonts w:hint="eastAsia" w:hAnsi="宋体"/>
          <w:b/>
          <w:sz w:val="28"/>
          <w:szCs w:val="30"/>
        </w:rPr>
        <w:t>项目名称：G228外文武围垦至下沙段3处驿站一体化设备采购合同</w:t>
      </w:r>
    </w:p>
    <w:p>
      <w:pPr>
        <w:widowControl/>
        <w:snapToGrid w:val="0"/>
        <w:spacing w:line="600" w:lineRule="exact"/>
        <w:jc w:val="left"/>
        <w:rPr>
          <w:rFonts w:ascii="仿宋" w:hAnsi="仿宋" w:eastAsia="仿宋" w:cs="仿宋"/>
          <w:sz w:val="32"/>
          <w:szCs w:val="32"/>
        </w:rPr>
      </w:pPr>
      <w:r>
        <w:rPr>
          <w:rFonts w:hint="eastAsia" w:hAnsi="宋体"/>
          <w:b/>
          <w:sz w:val="28"/>
          <w:szCs w:val="30"/>
        </w:rPr>
        <w:t>项目编号：</w:t>
      </w:r>
      <w:r>
        <w:rPr>
          <w:rFonts w:hint="eastAsia" w:ascii="仿宋" w:hAnsi="仿宋" w:eastAsia="仿宋" w:cs="仿宋"/>
          <w:sz w:val="32"/>
          <w:szCs w:val="32"/>
        </w:rPr>
        <w:t>BHSW2023CG-044</w:t>
      </w:r>
    </w:p>
    <w:p>
      <w:pPr>
        <w:spacing w:line="360" w:lineRule="auto"/>
        <w:jc w:val="center"/>
        <w:rPr>
          <w:rFonts w:ascii="黑体" w:hAnsi="黑体" w:cs="黑体"/>
          <w:b/>
          <w:bCs/>
          <w:sz w:val="44"/>
          <w:szCs w:val="44"/>
        </w:rPr>
      </w:pPr>
    </w:p>
    <w:p>
      <w:pPr>
        <w:pStyle w:val="13"/>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pStyle w:val="12"/>
        <w:ind w:firstLine="883"/>
        <w:rPr>
          <w:rFonts w:ascii="黑体" w:hAnsi="黑体" w:eastAsia="黑体" w:cs="黑体"/>
          <w:b/>
          <w:bCs/>
          <w:sz w:val="44"/>
          <w:szCs w:val="44"/>
        </w:rPr>
      </w:pPr>
    </w:p>
    <w:p>
      <w:pPr>
        <w:pStyle w:val="12"/>
        <w:ind w:firstLine="0" w:firstLineChars="0"/>
        <w:rPr>
          <w:rFonts w:ascii="黑体" w:hAnsi="黑体" w:eastAsia="黑体" w:cs="黑体"/>
          <w:b/>
          <w:bCs/>
          <w:sz w:val="44"/>
          <w:szCs w:val="44"/>
        </w:rPr>
      </w:pPr>
    </w:p>
    <w:p>
      <w:pPr>
        <w:pStyle w:val="12"/>
        <w:ind w:firstLine="883"/>
        <w:rPr>
          <w:rFonts w:ascii="黑体" w:hAnsi="黑体" w:eastAsia="黑体" w:cs="黑体"/>
          <w:b/>
          <w:bCs/>
          <w:sz w:val="44"/>
          <w:szCs w:val="44"/>
        </w:rPr>
      </w:pPr>
    </w:p>
    <w:p>
      <w:pPr>
        <w:pStyle w:val="12"/>
        <w:ind w:firstLine="883"/>
        <w:rPr>
          <w:rFonts w:ascii="黑体" w:hAnsi="黑体" w:eastAsia="黑体" w:cs="黑体"/>
          <w:b/>
          <w:bCs/>
          <w:sz w:val="44"/>
          <w:szCs w:val="44"/>
        </w:rPr>
      </w:pPr>
    </w:p>
    <w:p>
      <w:pPr>
        <w:pStyle w:val="12"/>
        <w:ind w:firstLine="883"/>
        <w:rPr>
          <w:rFonts w:ascii="黑体" w:hAnsi="黑体" w:eastAsia="黑体" w:cs="黑体"/>
          <w:b/>
          <w:bCs/>
          <w:sz w:val="44"/>
          <w:szCs w:val="44"/>
        </w:rPr>
      </w:pPr>
    </w:p>
    <w:p>
      <w:pPr>
        <w:pStyle w:val="12"/>
        <w:ind w:firstLine="0" w:firstLineChars="0"/>
        <w:rPr>
          <w:rFonts w:ascii="黑体" w:hAnsi="黑体" w:eastAsia="黑体" w:cs="黑体"/>
          <w:b/>
          <w:bCs/>
          <w:sz w:val="44"/>
          <w:szCs w:val="44"/>
        </w:rPr>
      </w:pPr>
    </w:p>
    <w:p>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福州市滨海水务发展有限公司</w:t>
      </w:r>
    </w:p>
    <w:p>
      <w:pPr>
        <w:spacing w:line="360" w:lineRule="auto"/>
        <w:jc w:val="center"/>
        <w:rPr>
          <w:rFonts w:ascii="仿宋" w:hAnsi="仿宋" w:eastAsia="仿宋"/>
          <w:sz w:val="30"/>
          <w:szCs w:val="30"/>
        </w:rPr>
        <w:sectPr>
          <w:headerReference r:id="rId3" w:type="default"/>
          <w:footerReference r:id="rId4" w:type="default"/>
          <w:pgSz w:w="11906" w:h="16838"/>
          <w:pgMar w:top="1417" w:right="1800" w:bottom="1417" w:left="1800" w:header="851" w:footer="992" w:gutter="0"/>
          <w:pgNumType w:start="0"/>
          <w:cols w:space="720" w:num="1"/>
          <w:docGrid w:type="lines" w:linePitch="312" w:charSpace="0"/>
        </w:sectPr>
      </w:pPr>
      <w:r>
        <w:rPr>
          <w:rFonts w:hint="eastAsia" w:ascii="黑体" w:hAnsi="黑体" w:eastAsia="黑体" w:cs="黑体"/>
          <w:sz w:val="30"/>
          <w:szCs w:val="30"/>
        </w:rPr>
        <w:t>2023年  月</w:t>
      </w:r>
    </w:p>
    <w:p>
      <w:pPr>
        <w:widowControl/>
        <w:adjustRightInd w:val="0"/>
        <w:snapToGrid w:val="0"/>
        <w:spacing w:line="500" w:lineRule="exact"/>
        <w:jc w:val="left"/>
        <w:rPr>
          <w:rFonts w:ascii="仿宋" w:hAnsi="仿宋" w:eastAsia="仿宋"/>
          <w:kern w:val="0"/>
          <w:sz w:val="24"/>
        </w:rPr>
      </w:pPr>
    </w:p>
    <w:p>
      <w:pPr>
        <w:widowControl/>
        <w:adjustRightInd w:val="0"/>
        <w:snapToGrid w:val="0"/>
        <w:spacing w:line="500" w:lineRule="exact"/>
        <w:ind w:firstLine="480" w:firstLineChars="200"/>
        <w:jc w:val="left"/>
        <w:rPr>
          <w:rFonts w:ascii="仿宋" w:hAnsi="仿宋" w:eastAsia="仿宋"/>
          <w:kern w:val="0"/>
          <w:sz w:val="24"/>
        </w:rPr>
      </w:pPr>
      <w:r>
        <w:rPr>
          <w:rFonts w:hint="eastAsia" w:ascii="仿宋" w:hAnsi="仿宋" w:eastAsia="仿宋"/>
          <w:kern w:val="0"/>
          <w:sz w:val="24"/>
          <w:lang w:eastAsia="ja-JP"/>
        </w:rPr>
        <w:t>甲方（以下称甲方）：</w:t>
      </w:r>
      <w:r>
        <w:rPr>
          <w:rFonts w:hint="eastAsia" w:ascii="仿宋" w:hAnsi="仿宋" w:eastAsia="仿宋"/>
          <w:kern w:val="0"/>
          <w:sz w:val="24"/>
          <w:u w:val="single"/>
        </w:rPr>
        <w:t>福州市滨海水务发展有限公司</w:t>
      </w:r>
    </w:p>
    <w:p>
      <w:pPr>
        <w:widowControl/>
        <w:adjustRightInd w:val="0"/>
        <w:snapToGrid w:val="0"/>
        <w:spacing w:line="500" w:lineRule="exact"/>
        <w:ind w:firstLine="480" w:firstLineChars="200"/>
        <w:jc w:val="left"/>
        <w:rPr>
          <w:rFonts w:ascii="仿宋" w:hAnsi="仿宋" w:eastAsia="仿宋"/>
          <w:kern w:val="0"/>
          <w:sz w:val="24"/>
        </w:rPr>
      </w:pPr>
      <w:r>
        <w:rPr>
          <w:rFonts w:hint="eastAsia" w:ascii="仿宋" w:hAnsi="仿宋" w:eastAsia="仿宋"/>
          <w:kern w:val="0"/>
          <w:sz w:val="24"/>
          <w:lang w:eastAsia="ja-JP"/>
        </w:rPr>
        <w:t>乙方（以下称乙方）：</w:t>
      </w:r>
      <w:r>
        <w:rPr>
          <w:rFonts w:hint="eastAsia" w:ascii="仿宋" w:hAnsi="仿宋" w:eastAsia="仿宋"/>
          <w:kern w:val="0"/>
          <w:sz w:val="24"/>
          <w:u w:val="single"/>
        </w:rPr>
        <w:t xml:space="preserve">                          </w:t>
      </w:r>
    </w:p>
    <w:p>
      <w:pPr>
        <w:widowControl/>
        <w:adjustRightInd w:val="0"/>
        <w:snapToGrid w:val="0"/>
        <w:spacing w:line="500" w:lineRule="exact"/>
        <w:ind w:firstLine="480" w:firstLineChars="200"/>
        <w:jc w:val="left"/>
        <w:rPr>
          <w:rFonts w:ascii="仿宋" w:hAnsi="仿宋" w:eastAsia="仿宋"/>
          <w:kern w:val="0"/>
          <w:sz w:val="24"/>
          <w:lang w:eastAsia="ja-JP"/>
        </w:rPr>
      </w:pPr>
    </w:p>
    <w:p>
      <w:pPr>
        <w:widowControl/>
        <w:adjustRightInd w:val="0"/>
        <w:snapToGrid w:val="0"/>
        <w:spacing w:line="500" w:lineRule="exact"/>
        <w:ind w:firstLine="480" w:firstLineChars="200"/>
        <w:jc w:val="left"/>
        <w:rPr>
          <w:rFonts w:ascii="仿宋" w:hAnsi="仿宋" w:eastAsia="仿宋"/>
          <w:kern w:val="0"/>
          <w:sz w:val="24"/>
          <w:lang w:eastAsia="ja-JP"/>
        </w:rPr>
      </w:pPr>
      <w:r>
        <w:rPr>
          <w:rFonts w:hint="eastAsia" w:ascii="仿宋" w:hAnsi="仿宋" w:eastAsia="仿宋"/>
          <w:kern w:val="0"/>
          <w:sz w:val="24"/>
          <w:lang w:eastAsia="ja-JP"/>
        </w:rPr>
        <w:t>为明确买卖双方的权利和义务，保护双方合法权益，根据《中华人民共和国</w:t>
      </w:r>
      <w:r>
        <w:rPr>
          <w:rFonts w:hint="eastAsia" w:ascii="仿宋" w:hAnsi="仿宋" w:eastAsia="仿宋"/>
          <w:kern w:val="0"/>
          <w:sz w:val="24"/>
        </w:rPr>
        <w:t>民法典</w:t>
      </w:r>
      <w:r>
        <w:rPr>
          <w:rFonts w:hint="eastAsia" w:ascii="仿宋" w:hAnsi="仿宋" w:eastAsia="仿宋"/>
          <w:kern w:val="0"/>
          <w:sz w:val="24"/>
          <w:lang w:eastAsia="ja-JP"/>
        </w:rPr>
        <w:t>》等相关法律、法规的规定，经双方友好协商，现签订本合同，以期共同遵守。</w:t>
      </w:r>
    </w:p>
    <w:p>
      <w:pPr>
        <w:widowControl/>
        <w:numPr>
          <w:ilvl w:val="0"/>
          <w:numId w:val="5"/>
        </w:numPr>
        <w:adjustRightInd w:val="0"/>
        <w:snapToGrid w:val="0"/>
        <w:spacing w:line="500" w:lineRule="exact"/>
        <w:ind w:firstLine="480" w:firstLineChars="200"/>
        <w:jc w:val="left"/>
        <w:rPr>
          <w:rFonts w:ascii="仿宋" w:hAnsi="仿宋" w:eastAsia="仿宋"/>
          <w:kern w:val="0"/>
          <w:sz w:val="24"/>
          <w:lang w:eastAsia="ja-JP"/>
        </w:rPr>
      </w:pPr>
      <w:r>
        <w:rPr>
          <w:rFonts w:hint="eastAsia" w:ascii="仿宋" w:hAnsi="仿宋" w:eastAsia="仿宋"/>
          <w:kern w:val="0"/>
          <w:sz w:val="24"/>
          <w:lang w:eastAsia="ja-JP"/>
        </w:rPr>
        <w:t>产品清单及价格明细</w:t>
      </w:r>
    </w:p>
    <w:tbl>
      <w:tblPr>
        <w:tblStyle w:val="22"/>
        <w:tblpPr w:leftFromText="180" w:rightFromText="180" w:vertAnchor="text" w:horzAnchor="page" w:tblpXSpec="center" w:tblpY="265"/>
        <w:tblOverlap w:val="never"/>
        <w:tblW w:w="9234" w:type="dxa"/>
        <w:jc w:val="center"/>
        <w:tblLayout w:type="fixed"/>
        <w:tblCellMar>
          <w:top w:w="0" w:type="dxa"/>
          <w:left w:w="0" w:type="dxa"/>
          <w:bottom w:w="0" w:type="dxa"/>
          <w:right w:w="0" w:type="dxa"/>
        </w:tblCellMar>
      </w:tblPr>
      <w:tblGrid>
        <w:gridCol w:w="859"/>
        <w:gridCol w:w="2650"/>
        <w:gridCol w:w="1612"/>
        <w:gridCol w:w="1338"/>
        <w:gridCol w:w="1300"/>
        <w:gridCol w:w="1475"/>
      </w:tblGrid>
      <w:tr>
        <w:trPr>
          <w:trHeight w:val="835" w:hRule="atLeast"/>
          <w:jc w:val="center"/>
        </w:trPr>
        <w:tc>
          <w:tcPr>
            <w:tcW w:w="85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kern w:val="0"/>
                <w:sz w:val="24"/>
              </w:rPr>
              <w:t>序号</w:t>
            </w:r>
          </w:p>
        </w:tc>
        <w:tc>
          <w:tcPr>
            <w:tcW w:w="26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品名</w:t>
            </w:r>
          </w:p>
        </w:tc>
        <w:tc>
          <w:tcPr>
            <w:tcW w:w="161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规格型号</w:t>
            </w:r>
          </w:p>
        </w:tc>
        <w:tc>
          <w:tcPr>
            <w:tcW w:w="133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数量（套）</w:t>
            </w:r>
          </w:p>
        </w:tc>
        <w:tc>
          <w:tcPr>
            <w:tcW w:w="1300"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单价（元）</w:t>
            </w:r>
          </w:p>
        </w:tc>
        <w:tc>
          <w:tcPr>
            <w:tcW w:w="1475"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总价（</w:t>
            </w:r>
            <w:r>
              <w:rPr>
                <w:rStyle w:val="28"/>
                <w:rFonts w:hint="eastAsia" w:ascii="仿宋" w:hAnsi="仿宋" w:eastAsia="仿宋" w:cs="仿宋"/>
                <w:sz w:val="24"/>
                <w:szCs w:val="24"/>
              </w:rPr>
              <w:t>元</w:t>
            </w:r>
            <w:r>
              <w:rPr>
                <w:rFonts w:hint="eastAsia" w:ascii="仿宋" w:hAnsi="仿宋" w:eastAsia="仿宋" w:cs="仿宋"/>
                <w:kern w:val="0"/>
                <w:sz w:val="24"/>
              </w:rPr>
              <w:t>）</w:t>
            </w:r>
          </w:p>
        </w:tc>
      </w:tr>
      <w:tr>
        <w:trPr>
          <w:trHeight w:val="815" w:hRule="atLeast"/>
          <w:jc w:val="center"/>
        </w:trPr>
        <w:tc>
          <w:tcPr>
            <w:tcW w:w="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1</w:t>
            </w:r>
          </w:p>
        </w:tc>
        <w:tc>
          <w:tcPr>
            <w:tcW w:w="2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11T/d规模一体化生活污水处理设备</w:t>
            </w: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2"/>
                <w:szCs w:val="22"/>
              </w:rPr>
            </w:pPr>
            <w:r>
              <w:rPr>
                <w:rFonts w:hint="eastAsia" w:ascii="仿宋" w:hAnsi="仿宋" w:eastAsia="仿宋" w:cs="仿宋"/>
                <w:sz w:val="22"/>
                <w:szCs w:val="22"/>
              </w:rPr>
              <w:t>详见技术标准和要求</w:t>
            </w:r>
          </w:p>
        </w:tc>
        <w:tc>
          <w:tcPr>
            <w:tcW w:w="13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1</w:t>
            </w:r>
          </w:p>
        </w:tc>
        <w:tc>
          <w:tcPr>
            <w:tcW w:w="1300"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c>
          <w:tcPr>
            <w:tcW w:w="1475"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r>
      <w:tr>
        <w:trPr>
          <w:trHeight w:val="815" w:hRule="atLeast"/>
          <w:jc w:val="center"/>
        </w:trPr>
        <w:tc>
          <w:tcPr>
            <w:tcW w:w="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2</w:t>
            </w:r>
          </w:p>
        </w:tc>
        <w:tc>
          <w:tcPr>
            <w:tcW w:w="2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3T/d规模一体化生活污水处理设备</w:t>
            </w: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2"/>
                <w:szCs w:val="22"/>
              </w:rPr>
              <w:t>详见技术标准和要求</w:t>
            </w:r>
          </w:p>
        </w:tc>
        <w:tc>
          <w:tcPr>
            <w:tcW w:w="13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kern w:val="0"/>
                <w:sz w:val="24"/>
              </w:rPr>
              <w:t>2</w:t>
            </w:r>
          </w:p>
        </w:tc>
        <w:tc>
          <w:tcPr>
            <w:tcW w:w="1300"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c>
          <w:tcPr>
            <w:tcW w:w="1475"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r>
      <w:tr>
        <w:trPr>
          <w:trHeight w:val="1385" w:hRule="atLeast"/>
          <w:jc w:val="center"/>
        </w:trPr>
        <w:tc>
          <w:tcPr>
            <w:tcW w:w="9234" w:type="dxa"/>
            <w:gridSpan w:val="6"/>
            <w:tcBorders>
              <w:left w:val="single" w:color="auto" w:sz="4" w:space="0"/>
              <w:bottom w:val="single" w:color="auto" w:sz="4" w:space="0"/>
              <w:right w:val="single" w:color="auto" w:sz="4" w:space="0"/>
            </w:tcBorders>
          </w:tcPr>
          <w:p>
            <w:pPr>
              <w:pStyle w:val="7"/>
              <w:widowControl/>
              <w:spacing w:line="360" w:lineRule="auto"/>
              <w:ind w:firstLine="566" w:firstLineChars="236"/>
              <w:rPr>
                <w:rFonts w:ascii="仿宋" w:hAnsi="仿宋" w:eastAsia="仿宋" w:cs="仿宋"/>
                <w:kern w:val="0"/>
                <w:sz w:val="24"/>
              </w:rPr>
            </w:pPr>
            <w:r>
              <w:rPr>
                <w:rFonts w:hint="eastAsia" w:ascii="仿宋" w:hAnsi="仿宋" w:eastAsia="仿宋" w:cs="仿宋"/>
                <w:kern w:val="0"/>
                <w:sz w:val="24"/>
              </w:rPr>
              <w:t>合同总价（含税费）：￥</w:t>
            </w:r>
            <w:r>
              <w:rPr>
                <w:rFonts w:hint="eastAsia" w:ascii="仿宋" w:hAnsi="仿宋" w:eastAsia="仿宋" w:cs="仿宋"/>
                <w:kern w:val="0"/>
                <w:sz w:val="24"/>
                <w:u w:val="single"/>
              </w:rPr>
              <w:t xml:space="preserve">         （大写：         </w:t>
            </w:r>
            <w:r>
              <w:rPr>
                <w:rFonts w:hint="eastAsia" w:ascii="仿宋" w:hAnsi="仿宋" w:eastAsia="仿宋" w:cs="仿宋"/>
                <w:kern w:val="0"/>
                <w:sz w:val="24"/>
              </w:rPr>
              <w:t>）；税率</w:t>
            </w:r>
            <w:r>
              <w:rPr>
                <w:rFonts w:hint="eastAsia" w:ascii="仿宋" w:hAnsi="仿宋" w:eastAsia="仿宋" w:cs="仿宋"/>
                <w:kern w:val="0"/>
                <w:sz w:val="24"/>
                <w:u w:val="single"/>
              </w:rPr>
              <w:t xml:space="preserve">  </w:t>
            </w:r>
            <w:r>
              <w:rPr>
                <w:rFonts w:hint="eastAsia" w:ascii="仿宋" w:hAnsi="仿宋" w:eastAsia="仿宋" w:cs="仿宋"/>
                <w:kern w:val="0"/>
                <w:sz w:val="24"/>
              </w:rPr>
              <w:t>%，不含税价</w:t>
            </w:r>
            <w:r>
              <w:rPr>
                <w:rFonts w:hint="eastAsia" w:ascii="仿宋" w:hAnsi="仿宋" w:eastAsia="仿宋" w:cs="仿宋"/>
                <w:kern w:val="0"/>
                <w:sz w:val="24"/>
                <w:u w:val="single"/>
              </w:rPr>
              <w:t xml:space="preserve">    </w:t>
            </w:r>
            <w:r>
              <w:rPr>
                <w:rFonts w:hint="eastAsia" w:ascii="仿宋" w:hAnsi="仿宋" w:eastAsia="仿宋" w:cs="仿宋"/>
                <w:kern w:val="0"/>
                <w:sz w:val="24"/>
              </w:rPr>
              <w:t>元，税额</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pPr>
              <w:pStyle w:val="7"/>
              <w:widowControl/>
              <w:spacing w:line="360" w:lineRule="auto"/>
              <w:ind w:firstLine="566" w:firstLineChars="236"/>
              <w:rPr>
                <w:rFonts w:ascii="仿宋" w:hAnsi="仿宋" w:eastAsia="仿宋" w:cs="仿宋"/>
                <w:kern w:val="0"/>
                <w:sz w:val="24"/>
              </w:rPr>
            </w:pPr>
            <w:r>
              <w:rPr>
                <w:rFonts w:hint="eastAsia" w:ascii="仿宋" w:hAnsi="仿宋" w:eastAsia="仿宋" w:cs="仿宋"/>
                <w:kern w:val="0"/>
                <w:sz w:val="24"/>
              </w:rPr>
              <w:t>合同金额已包含货物所涉及的有关项目的所有费用,包含货物的制造、包装、运输、装卸、保险、安装、调试、验收、专利、税费、售后服务、人员培训，通讯费。还要考虑其他乙方应缴的费用，合同中可能出现的索赔和变更以及可合理推断的责任和义务。</w:t>
            </w:r>
          </w:p>
          <w:p>
            <w:pPr>
              <w:pStyle w:val="7"/>
              <w:widowControl/>
              <w:spacing w:line="360" w:lineRule="auto"/>
              <w:ind w:firstLine="566" w:firstLineChars="236"/>
              <w:rPr>
                <w:rFonts w:ascii="仿宋" w:hAnsi="仿宋" w:eastAsia="仿宋" w:cs="仿宋"/>
                <w:kern w:val="0"/>
                <w:sz w:val="24"/>
              </w:rPr>
            </w:pPr>
            <w:r>
              <w:rPr>
                <w:rFonts w:hint="eastAsia" w:ascii="仿宋" w:hAnsi="仿宋" w:eastAsia="仿宋" w:cs="仿宋"/>
                <w:sz w:val="24"/>
              </w:rPr>
              <w:t>货物安装服务范围：</w:t>
            </w:r>
            <w:r>
              <w:rPr>
                <w:rFonts w:hint="eastAsia" w:ascii="仿宋" w:hAnsi="仿宋" w:eastAsia="仿宋" w:cs="仿宋"/>
                <w:kern w:val="0"/>
                <w:sz w:val="24"/>
              </w:rPr>
              <w:t>福州市滨海新城G228沿线3处驿站生活污水处理设备及安装调试</w:t>
            </w:r>
            <w:r>
              <w:rPr>
                <w:rFonts w:hint="eastAsia" w:ascii="宋体" w:hAnsi="宋体" w:cs="宋体"/>
                <w:sz w:val="24"/>
              </w:rPr>
              <w:t>。</w:t>
            </w:r>
          </w:p>
        </w:tc>
      </w:tr>
    </w:tbl>
    <w:p>
      <w:pPr>
        <w:widowControl/>
        <w:numPr>
          <w:ilvl w:val="0"/>
          <w:numId w:val="5"/>
        </w:numPr>
        <w:adjustRightInd w:val="0"/>
        <w:snapToGrid w:val="0"/>
        <w:spacing w:line="500" w:lineRule="exact"/>
        <w:ind w:firstLine="480" w:firstLineChars="200"/>
        <w:jc w:val="left"/>
        <w:rPr>
          <w:rFonts w:ascii="仿宋" w:hAnsi="仿宋" w:eastAsia="仿宋"/>
          <w:kern w:val="0"/>
          <w:sz w:val="24"/>
        </w:rPr>
      </w:pPr>
      <w:r>
        <w:rPr>
          <w:rFonts w:hint="eastAsia" w:ascii="仿宋" w:hAnsi="仿宋" w:eastAsia="仿宋"/>
          <w:kern w:val="0"/>
          <w:sz w:val="24"/>
        </w:rPr>
        <w:t>供交货期及交货地点</w:t>
      </w:r>
    </w:p>
    <w:p>
      <w:pPr>
        <w:widowControl/>
        <w:numPr>
          <w:ilvl w:val="3"/>
          <w:numId w:val="5"/>
        </w:numPr>
        <w:adjustRightInd w:val="0"/>
        <w:snapToGrid w:val="0"/>
        <w:spacing w:line="500" w:lineRule="exact"/>
        <w:ind w:firstLine="480" w:firstLineChars="200"/>
        <w:jc w:val="left"/>
        <w:rPr>
          <w:rFonts w:ascii="仿宋" w:hAnsi="仿宋" w:eastAsia="仿宋" w:cs="仿宋"/>
          <w:kern w:val="0"/>
          <w:sz w:val="24"/>
        </w:rPr>
      </w:pPr>
      <w:r>
        <w:rPr>
          <w:rFonts w:hint="eastAsia" w:ascii="仿宋" w:hAnsi="仿宋" w:eastAsia="仿宋" w:cs="仿宋"/>
          <w:kern w:val="0"/>
          <w:sz w:val="24"/>
        </w:rPr>
        <w:t>交付期限：</w:t>
      </w:r>
    </w:p>
    <w:p>
      <w:pPr>
        <w:widowControl/>
        <w:numPr>
          <w:ilvl w:val="255"/>
          <w:numId w:val="0"/>
        </w:numPr>
        <w:adjustRightInd w:val="0"/>
        <w:snapToGrid w:val="0"/>
        <w:spacing w:line="500" w:lineRule="exact"/>
        <w:ind w:firstLine="480" w:firstLineChars="200"/>
        <w:jc w:val="left"/>
        <w:rPr>
          <w:rFonts w:ascii="仿宋" w:hAnsi="仿宋" w:eastAsia="仿宋" w:cs="仿宋"/>
          <w:color w:val="0000FF"/>
          <w:kern w:val="0"/>
          <w:sz w:val="24"/>
        </w:rPr>
      </w:pPr>
      <w:r>
        <w:rPr>
          <w:rFonts w:hint="eastAsia" w:ascii="仿宋" w:hAnsi="仿宋" w:eastAsia="仿宋" w:cs="仿宋"/>
          <w:color w:val="0000FF"/>
          <w:kern w:val="0"/>
          <w:sz w:val="24"/>
        </w:rPr>
        <w:t>乙方应于合同签订后7个工作日将主设备交货至甲方指定地点，待现场具备安装条件后，二十个工作日内完成全部一体化生活污水处理设备安装初验、通水调试且终验合格</w:t>
      </w:r>
    </w:p>
    <w:p>
      <w:pPr>
        <w:widowControl/>
        <w:numPr>
          <w:ilvl w:val="3"/>
          <w:numId w:val="5"/>
        </w:numPr>
        <w:adjustRightInd w:val="0"/>
        <w:snapToGrid w:val="0"/>
        <w:spacing w:line="500" w:lineRule="exact"/>
        <w:ind w:firstLine="480" w:firstLineChars="200"/>
        <w:jc w:val="left"/>
        <w:rPr>
          <w:rFonts w:ascii="仿宋" w:hAnsi="仿宋" w:eastAsia="仿宋" w:cs="仿宋"/>
          <w:kern w:val="0"/>
          <w:sz w:val="24"/>
        </w:rPr>
      </w:pPr>
      <w:r>
        <w:rPr>
          <w:rFonts w:hint="eastAsia" w:ascii="仿宋" w:hAnsi="仿宋" w:eastAsia="仿宋" w:cs="仿宋"/>
          <w:kern w:val="0"/>
          <w:sz w:val="24"/>
        </w:rPr>
        <w:t>交付地点：具体以甲方指定为准。</w:t>
      </w:r>
    </w:p>
    <w:p>
      <w:pPr>
        <w:widowControl/>
        <w:numPr>
          <w:ilvl w:val="3"/>
          <w:numId w:val="5"/>
        </w:numPr>
        <w:adjustRightInd w:val="0"/>
        <w:snapToGrid w:val="0"/>
        <w:spacing w:line="500" w:lineRule="exact"/>
        <w:ind w:firstLine="480" w:firstLineChars="200"/>
        <w:jc w:val="left"/>
        <w:rPr>
          <w:rFonts w:ascii="仿宋" w:hAnsi="仿宋" w:eastAsia="仿宋" w:cs="仿宋"/>
          <w:kern w:val="0"/>
          <w:sz w:val="24"/>
        </w:rPr>
      </w:pPr>
      <w:r>
        <w:rPr>
          <w:rFonts w:hint="eastAsia" w:ascii="仿宋" w:hAnsi="仿宋" w:eastAsia="仿宋" w:cs="仿宋"/>
          <w:kern w:val="0"/>
          <w:sz w:val="24"/>
        </w:rPr>
        <w:t>乙方在发运前应提前将发货批次、数量及到达时间，以传真形式通知甲方，以便甲方提供配合。</w:t>
      </w:r>
    </w:p>
    <w:p>
      <w:pPr>
        <w:widowControl/>
        <w:numPr>
          <w:ilvl w:val="3"/>
          <w:numId w:val="5"/>
        </w:numPr>
        <w:adjustRightInd w:val="0"/>
        <w:snapToGrid w:val="0"/>
        <w:spacing w:line="500" w:lineRule="exact"/>
        <w:ind w:firstLine="480" w:firstLineChars="200"/>
        <w:jc w:val="left"/>
        <w:rPr>
          <w:rFonts w:ascii="仿宋" w:hAnsi="仿宋" w:eastAsia="仿宋" w:cs="仿宋"/>
          <w:kern w:val="0"/>
          <w:sz w:val="24"/>
        </w:rPr>
      </w:pPr>
      <w:r>
        <w:rPr>
          <w:rFonts w:hint="eastAsia" w:ascii="仿宋" w:hAnsi="仿宋" w:eastAsia="仿宋" w:cs="仿宋"/>
          <w:kern w:val="0"/>
          <w:sz w:val="24"/>
        </w:rPr>
        <w:t>乙方应派技术人员到现场安装、调试至正常工作，并对甲方技术人员进行现场培训指导直至能独立操作、排除简单故障。</w:t>
      </w:r>
    </w:p>
    <w:p>
      <w:pPr>
        <w:widowControl/>
        <w:numPr>
          <w:ilvl w:val="3"/>
          <w:numId w:val="5"/>
        </w:numPr>
        <w:adjustRightInd w:val="0"/>
        <w:snapToGrid w:val="0"/>
        <w:spacing w:line="500" w:lineRule="exact"/>
        <w:ind w:firstLine="480" w:firstLineChars="200"/>
        <w:jc w:val="left"/>
        <w:rPr>
          <w:rFonts w:ascii="仿宋" w:hAnsi="仿宋" w:eastAsia="仿宋" w:cs="仿宋"/>
          <w:kern w:val="0"/>
          <w:sz w:val="24"/>
        </w:rPr>
      </w:pPr>
      <w:r>
        <w:rPr>
          <w:rFonts w:hint="eastAsia" w:ascii="仿宋" w:hAnsi="仿宋" w:eastAsia="仿宋" w:cs="仿宋"/>
          <w:kern w:val="0"/>
          <w:sz w:val="24"/>
        </w:rPr>
        <w:t>货交甲方并经验收确认前的全部风险和相关费用均由乙方承担。</w:t>
      </w:r>
    </w:p>
    <w:p>
      <w:pPr>
        <w:widowControl/>
        <w:numPr>
          <w:ilvl w:val="0"/>
          <w:numId w:val="5"/>
        </w:numPr>
        <w:adjustRightInd w:val="0"/>
        <w:snapToGrid w:val="0"/>
        <w:spacing w:line="500" w:lineRule="exact"/>
        <w:ind w:firstLine="480" w:firstLineChars="200"/>
        <w:jc w:val="left"/>
        <w:rPr>
          <w:rFonts w:ascii="仿宋" w:hAnsi="仿宋" w:eastAsia="仿宋"/>
          <w:kern w:val="0"/>
          <w:sz w:val="24"/>
        </w:rPr>
      </w:pPr>
      <w:r>
        <w:rPr>
          <w:rFonts w:hint="eastAsia" w:ascii="仿宋" w:hAnsi="仿宋" w:eastAsia="仿宋"/>
          <w:kern w:val="0"/>
          <w:sz w:val="24"/>
        </w:rPr>
        <w:t>运输及包装</w:t>
      </w:r>
    </w:p>
    <w:p>
      <w:pPr>
        <w:widowControl/>
        <w:numPr>
          <w:ilvl w:val="3"/>
          <w:numId w:val="6"/>
        </w:numPr>
        <w:adjustRightInd w:val="0"/>
        <w:snapToGrid w:val="0"/>
        <w:spacing w:line="500" w:lineRule="exact"/>
        <w:ind w:firstLine="480" w:firstLineChars="200"/>
        <w:jc w:val="left"/>
        <w:rPr>
          <w:rFonts w:ascii="仿宋" w:hAnsi="仿宋" w:eastAsia="仿宋" w:cs="仿宋"/>
          <w:sz w:val="24"/>
        </w:rPr>
      </w:pPr>
      <w:r>
        <w:rPr>
          <w:rFonts w:hint="eastAsia" w:ascii="仿宋" w:hAnsi="仿宋" w:eastAsia="仿宋" w:cs="仿宋"/>
          <w:sz w:val="24"/>
        </w:rPr>
        <w:t>乙方应负责将产品设备运到目的地，提供的设备应具有完善的外包装，适合海运、吊装，能防止撞击、潮气。</w:t>
      </w:r>
    </w:p>
    <w:p>
      <w:pPr>
        <w:widowControl/>
        <w:numPr>
          <w:ilvl w:val="3"/>
          <w:numId w:val="6"/>
        </w:numPr>
        <w:adjustRightInd w:val="0"/>
        <w:snapToGrid w:val="0"/>
        <w:spacing w:line="500" w:lineRule="exact"/>
        <w:ind w:firstLine="480" w:firstLineChars="200"/>
        <w:jc w:val="left"/>
        <w:rPr>
          <w:rFonts w:ascii="仿宋" w:hAnsi="仿宋" w:eastAsia="仿宋" w:cs="仿宋"/>
          <w:sz w:val="24"/>
        </w:rPr>
      </w:pPr>
      <w:r>
        <w:rPr>
          <w:rFonts w:hint="eastAsia" w:ascii="仿宋" w:hAnsi="仿宋" w:eastAsia="仿宋" w:cs="仿宋"/>
          <w:sz w:val="24"/>
        </w:rPr>
        <w:t>运输期间，产品设备和部件应包装完好以免损坏或泄漏。包装箱外面应标明净重、内容，装箱及卸载的正常步骤。应该使送至现场、检查损坏程度、卸载和存放的工作尽可能地简单。如产品设备和部件存在质量问题，乙方应按甲方要求的时限完成更换。</w:t>
      </w:r>
    </w:p>
    <w:p>
      <w:pPr>
        <w:widowControl/>
        <w:numPr>
          <w:ilvl w:val="3"/>
          <w:numId w:val="6"/>
        </w:numPr>
        <w:adjustRightInd w:val="0"/>
        <w:snapToGrid w:val="0"/>
        <w:spacing w:line="500" w:lineRule="exact"/>
        <w:ind w:firstLine="480" w:firstLineChars="200"/>
        <w:jc w:val="left"/>
        <w:rPr>
          <w:rFonts w:ascii="仿宋" w:hAnsi="仿宋" w:eastAsia="仿宋" w:cs="仿宋"/>
          <w:sz w:val="24"/>
        </w:rPr>
      </w:pPr>
      <w:r>
        <w:rPr>
          <w:rFonts w:hint="eastAsia" w:ascii="仿宋" w:hAnsi="仿宋" w:eastAsia="仿宋" w:cs="仿宋"/>
          <w:sz w:val="24"/>
        </w:rPr>
        <w:t>乙方应负责所有产品设备的卸货。乙方应在主要设备到货之前向甲方代表提交完整的卸货步骤及保护措施以供批准。甲方代表的批准并不能免除乙方按照合同规定应负的责任。</w:t>
      </w:r>
    </w:p>
    <w:p>
      <w:pPr>
        <w:widowControl/>
        <w:numPr>
          <w:ilvl w:val="3"/>
          <w:numId w:val="6"/>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sz w:val="24"/>
        </w:rPr>
        <w:t>乙方应确保所有运至现场的设备和部件妥善放置、安装。运输、卸货和安装的过程中应保证设备有防雨、防潮等保护措施。</w:t>
      </w:r>
    </w:p>
    <w:p>
      <w:pPr>
        <w:widowControl/>
        <w:numPr>
          <w:ilvl w:val="0"/>
          <w:numId w:val="5"/>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货物验收标准</w:t>
      </w:r>
    </w:p>
    <w:p>
      <w:pPr>
        <w:widowControl/>
        <w:numPr>
          <w:ilvl w:val="3"/>
          <w:numId w:val="7"/>
        </w:numPr>
        <w:adjustRightInd w:val="0"/>
        <w:snapToGrid w:val="0"/>
        <w:spacing w:line="500" w:lineRule="exact"/>
        <w:ind w:firstLine="480" w:firstLineChars="200"/>
        <w:jc w:val="left"/>
        <w:rPr>
          <w:rFonts w:ascii="仿宋" w:hAnsi="仿宋" w:eastAsia="仿宋" w:cs="仿宋"/>
          <w:sz w:val="24"/>
        </w:rPr>
      </w:pPr>
      <w:r>
        <w:rPr>
          <w:rFonts w:hint="eastAsia" w:ascii="仿宋" w:hAnsi="仿宋" w:eastAsia="仿宋" w:cs="仿宋"/>
          <w:sz w:val="24"/>
        </w:rPr>
        <w:t>按照</w:t>
      </w:r>
      <w:r>
        <w:rPr>
          <w:rFonts w:hint="eastAsia" w:ascii="仿宋" w:hAnsi="仿宋" w:eastAsia="仿宋" w:cs="仿宋"/>
          <w:kern w:val="0"/>
          <w:sz w:val="24"/>
        </w:rPr>
        <w:t>询价函</w:t>
      </w:r>
      <w:r>
        <w:rPr>
          <w:rFonts w:hint="eastAsia" w:ascii="仿宋" w:hAnsi="仿宋" w:eastAsia="仿宋" w:cs="仿宋"/>
          <w:sz w:val="24"/>
        </w:rPr>
        <w:t>中明确的技术标准和技术要求执行。</w:t>
      </w:r>
    </w:p>
    <w:p>
      <w:pPr>
        <w:widowControl/>
        <w:numPr>
          <w:ilvl w:val="3"/>
          <w:numId w:val="7"/>
        </w:numPr>
        <w:adjustRightInd w:val="0"/>
        <w:snapToGrid w:val="0"/>
        <w:spacing w:line="500" w:lineRule="exact"/>
        <w:ind w:firstLine="480" w:firstLineChars="200"/>
        <w:jc w:val="left"/>
        <w:rPr>
          <w:rFonts w:ascii="仿宋" w:hAnsi="仿宋" w:eastAsia="仿宋" w:cs="仿宋"/>
          <w:sz w:val="24"/>
        </w:rPr>
      </w:pPr>
      <w:r>
        <w:rPr>
          <w:rFonts w:hint="eastAsia" w:ascii="仿宋" w:hAnsi="仿宋" w:eastAsia="仿宋" w:cs="仿宋"/>
          <w:sz w:val="24"/>
        </w:rPr>
        <w:t>与合同货物有关的最新版本的中华人民共和国国家标准和部颁标准执行。</w:t>
      </w:r>
    </w:p>
    <w:p>
      <w:pPr>
        <w:widowControl/>
        <w:numPr>
          <w:ilvl w:val="3"/>
          <w:numId w:val="7"/>
        </w:numPr>
        <w:adjustRightInd w:val="0"/>
        <w:snapToGrid w:val="0"/>
        <w:spacing w:line="500" w:lineRule="exact"/>
        <w:ind w:firstLine="480" w:firstLineChars="200"/>
        <w:jc w:val="left"/>
        <w:rPr>
          <w:rFonts w:ascii="仿宋" w:hAnsi="仿宋" w:eastAsia="仿宋" w:cs="仿宋"/>
          <w:sz w:val="24"/>
        </w:rPr>
      </w:pPr>
      <w:r>
        <w:rPr>
          <w:rFonts w:hint="eastAsia" w:ascii="仿宋" w:hAnsi="仿宋" w:eastAsia="仿宋" w:cs="仿宋"/>
          <w:sz w:val="24"/>
        </w:rPr>
        <w:t>乙方的报价文件，经甲方确认后，将作为对货物的验收依据之一。</w:t>
      </w:r>
    </w:p>
    <w:p>
      <w:pPr>
        <w:widowControl/>
        <w:numPr>
          <w:ilvl w:val="3"/>
          <w:numId w:val="7"/>
        </w:numPr>
        <w:adjustRightInd w:val="0"/>
        <w:snapToGrid w:val="0"/>
        <w:spacing w:line="500" w:lineRule="exact"/>
        <w:ind w:firstLine="480" w:firstLineChars="200"/>
        <w:jc w:val="left"/>
        <w:rPr>
          <w:rFonts w:ascii="仿宋" w:hAnsi="仿宋" w:eastAsia="仿宋" w:cs="仿宋"/>
          <w:sz w:val="24"/>
        </w:rPr>
      </w:pPr>
      <w:r>
        <w:rPr>
          <w:rFonts w:hint="eastAsia" w:ascii="仿宋" w:hAnsi="仿宋" w:eastAsia="仿宋" w:cs="仿宋"/>
          <w:sz w:val="24"/>
        </w:rPr>
        <w:t>乙方在澄清报价文件时做出的承诺，经甲方确认后，将作为对货物的验收依据之一。</w:t>
      </w:r>
    </w:p>
    <w:p>
      <w:pPr>
        <w:widowControl/>
        <w:numPr>
          <w:ilvl w:val="3"/>
          <w:numId w:val="7"/>
        </w:numPr>
        <w:adjustRightInd w:val="0"/>
        <w:snapToGrid w:val="0"/>
        <w:spacing w:line="500" w:lineRule="exact"/>
        <w:ind w:firstLine="480" w:firstLineChars="200"/>
        <w:jc w:val="left"/>
        <w:rPr>
          <w:rFonts w:ascii="仿宋" w:hAnsi="仿宋" w:eastAsia="仿宋" w:cs="仿宋"/>
          <w:sz w:val="24"/>
        </w:rPr>
      </w:pPr>
      <w:r>
        <w:rPr>
          <w:rFonts w:hint="eastAsia" w:ascii="仿宋" w:hAnsi="仿宋" w:eastAsia="仿宋" w:cs="仿宋"/>
          <w:sz w:val="24"/>
        </w:rPr>
        <w:t>所有提供的货物必须有检验报告和合格证。货物应提供一套对应的设备安装图报甲方审核。</w:t>
      </w:r>
    </w:p>
    <w:p>
      <w:pPr>
        <w:widowControl/>
        <w:numPr>
          <w:ilvl w:val="255"/>
          <w:numId w:val="0"/>
        </w:numPr>
        <w:adjustRightInd w:val="0"/>
        <w:snapToGrid w:val="0"/>
        <w:spacing w:line="500" w:lineRule="exact"/>
        <w:ind w:firstLine="480" w:firstLineChars="200"/>
        <w:jc w:val="left"/>
        <w:rPr>
          <w:rFonts w:ascii="仿宋" w:hAnsi="仿宋" w:eastAsia="仿宋" w:cs="仿宋"/>
          <w:sz w:val="24"/>
        </w:rPr>
      </w:pPr>
      <w:r>
        <w:rPr>
          <w:rFonts w:hint="eastAsia" w:ascii="仿宋" w:hAnsi="仿宋" w:eastAsia="仿宋" w:cs="仿宋"/>
          <w:sz w:val="24"/>
        </w:rPr>
        <w:t>以上验收标准不一的，以较高标准为准。</w:t>
      </w:r>
    </w:p>
    <w:p>
      <w:pPr>
        <w:widowControl/>
        <w:numPr>
          <w:ilvl w:val="0"/>
          <w:numId w:val="5"/>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验收方式</w:t>
      </w:r>
    </w:p>
    <w:p>
      <w:pPr>
        <w:widowControl/>
        <w:adjustRightInd w:val="0"/>
        <w:snapToGrid w:val="0"/>
        <w:spacing w:line="500" w:lineRule="exact"/>
        <w:ind w:firstLine="480" w:firstLineChars="200"/>
        <w:jc w:val="left"/>
        <w:rPr>
          <w:rFonts w:ascii="仿宋" w:hAnsi="仿宋" w:eastAsia="仿宋" w:cs="仿宋"/>
          <w:sz w:val="24"/>
        </w:rPr>
      </w:pPr>
      <w:r>
        <w:rPr>
          <w:rFonts w:hint="eastAsia" w:ascii="仿宋" w:hAnsi="仿宋" w:eastAsia="仿宋" w:cs="仿宋"/>
          <w:sz w:val="24"/>
        </w:rPr>
        <w:t>乙方按要求完成一体化生活污水处理设备通水调试后，由甲方逐套组织初验及终验，根据</w:t>
      </w:r>
      <w:r>
        <w:rPr>
          <w:rFonts w:hint="eastAsia" w:ascii="仿宋" w:hAnsi="仿宋" w:eastAsia="仿宋" w:cs="仿宋"/>
          <w:kern w:val="0"/>
          <w:sz w:val="24"/>
        </w:rPr>
        <w:t>本合同第四条约定的标准</w:t>
      </w:r>
      <w:r>
        <w:rPr>
          <w:rFonts w:hint="eastAsia" w:ascii="仿宋" w:hAnsi="仿宋" w:eastAsia="仿宋" w:cs="仿宋"/>
          <w:sz w:val="24"/>
        </w:rPr>
        <w:t>进行验收。</w:t>
      </w:r>
    </w:p>
    <w:p>
      <w:pPr>
        <w:pStyle w:val="13"/>
        <w:ind w:firstLine="480" w:firstLineChars="200"/>
        <w:rPr>
          <w:rFonts w:ascii="仿宋" w:hAnsi="仿宋" w:eastAsia="仿宋" w:cs="仿宋"/>
          <w:sz w:val="24"/>
          <w:szCs w:val="24"/>
        </w:rPr>
      </w:pPr>
      <w:r>
        <w:rPr>
          <w:rFonts w:hint="eastAsia" w:ascii="仿宋" w:hAnsi="仿宋" w:eastAsia="仿宋" w:cs="仿宋"/>
          <w:sz w:val="24"/>
          <w:szCs w:val="24"/>
        </w:rPr>
        <w:t>初验：一体化设备应满足询价函中的技术参数要求，且设备能够稳定运行，出水水质符合《城镇污水处理厂污染物排放标准（GB18918—2002）》一级B标准，数据通过4G网络可以上传至滨海水务指定远传平台，可以实现故障报警，具备以上条件，开展初验。</w:t>
      </w:r>
    </w:p>
    <w:p>
      <w:pPr>
        <w:pStyle w:val="13"/>
        <w:ind w:firstLine="480" w:firstLineChars="200"/>
        <w:rPr>
          <w:rFonts w:ascii="仿宋" w:hAnsi="仿宋" w:eastAsia="仿宋" w:cs="仿宋"/>
          <w:sz w:val="24"/>
          <w:szCs w:val="24"/>
        </w:rPr>
      </w:pPr>
      <w:r>
        <w:rPr>
          <w:rFonts w:hint="eastAsia" w:ascii="仿宋" w:hAnsi="仿宋" w:eastAsia="仿宋" w:cs="仿宋"/>
          <w:sz w:val="24"/>
          <w:szCs w:val="24"/>
        </w:rPr>
        <w:t>终验：以设备通过初验起记三个月试运行期，试运行期间设备应能稳定运行，数据回传率大于95%，符合以上条件，通过试运行期后，开展终验。</w:t>
      </w:r>
    </w:p>
    <w:p>
      <w:pPr>
        <w:widowControl/>
        <w:numPr>
          <w:ilvl w:val="0"/>
          <w:numId w:val="5"/>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合同价款的支付</w:t>
      </w:r>
    </w:p>
    <w:p>
      <w:pPr>
        <w:widowControl/>
        <w:numPr>
          <w:ilvl w:val="3"/>
          <w:numId w:val="8"/>
        </w:numPr>
        <w:adjustRightInd w:val="0"/>
        <w:snapToGrid w:val="0"/>
        <w:spacing w:line="500" w:lineRule="exact"/>
        <w:ind w:firstLine="480" w:firstLineChars="200"/>
        <w:jc w:val="left"/>
        <w:rPr>
          <w:rFonts w:ascii="仿宋" w:hAnsi="仿宋" w:eastAsia="仿宋" w:cs="仿宋"/>
          <w:sz w:val="24"/>
          <w:lang w:eastAsia="ja-JP"/>
        </w:rPr>
      </w:pPr>
      <w:r>
        <w:rPr>
          <w:rFonts w:hint="eastAsia" w:ascii="仿宋" w:hAnsi="仿宋" w:eastAsia="仿宋" w:cs="仿宋"/>
          <w:sz w:val="24"/>
        </w:rPr>
        <w:t>付款节点如下</w:t>
      </w:r>
      <w:r>
        <w:rPr>
          <w:rFonts w:hint="eastAsia" w:ascii="仿宋" w:hAnsi="仿宋" w:eastAsia="仿宋" w:cs="仿宋"/>
          <w:sz w:val="24"/>
          <w:lang w:eastAsia="ja-JP"/>
        </w:rPr>
        <w:t>。</w:t>
      </w:r>
    </w:p>
    <w:p>
      <w:pPr>
        <w:widowControl/>
        <w:adjustRightInd w:val="0"/>
        <w:snapToGrid w:val="0"/>
        <w:spacing w:line="500" w:lineRule="exact"/>
        <w:ind w:left="210" w:leftChars="100" w:firstLine="240" w:firstLineChars="100"/>
        <w:jc w:val="left"/>
        <w:rPr>
          <w:rFonts w:ascii="仿宋" w:hAnsi="仿宋" w:eastAsia="仿宋" w:cs="仿宋"/>
          <w:kern w:val="0"/>
          <w:sz w:val="24"/>
        </w:rPr>
      </w:pPr>
      <w:r>
        <w:rPr>
          <w:rFonts w:hint="eastAsia" w:ascii="仿宋" w:hAnsi="仿宋" w:eastAsia="仿宋" w:cs="仿宋"/>
          <w:kern w:val="0"/>
          <w:sz w:val="24"/>
        </w:rPr>
        <w:t>(1)合同签订后，甲方向乙方支付合同价款的15%；</w:t>
      </w:r>
    </w:p>
    <w:p>
      <w:pPr>
        <w:widowControl/>
        <w:adjustRightInd w:val="0"/>
        <w:snapToGrid w:val="0"/>
        <w:spacing w:line="500" w:lineRule="exact"/>
        <w:ind w:left="210" w:leftChars="100" w:firstLine="240" w:firstLineChars="100"/>
        <w:jc w:val="left"/>
        <w:rPr>
          <w:rFonts w:ascii="仿宋" w:hAnsi="仿宋" w:eastAsia="仿宋" w:cs="仿宋"/>
          <w:kern w:val="0"/>
          <w:sz w:val="24"/>
        </w:rPr>
      </w:pPr>
      <w:r>
        <w:rPr>
          <w:rFonts w:hint="eastAsia" w:ascii="仿宋" w:hAnsi="仿宋" w:eastAsia="仿宋" w:cs="仿宋"/>
          <w:kern w:val="0"/>
          <w:sz w:val="24"/>
        </w:rPr>
        <w:t>(2)乙方将主设备按甲方要求的送到指定地点并经甲方到货验收合格后，甲方向乙方支付至到货设备价款的 50%；</w:t>
      </w:r>
    </w:p>
    <w:p>
      <w:pPr>
        <w:widowControl/>
        <w:adjustRightInd w:val="0"/>
        <w:snapToGrid w:val="0"/>
        <w:spacing w:line="500" w:lineRule="exact"/>
        <w:ind w:left="210" w:leftChars="100" w:firstLine="240" w:firstLineChars="100"/>
        <w:jc w:val="left"/>
        <w:rPr>
          <w:rFonts w:ascii="仿宋" w:hAnsi="仿宋" w:eastAsia="仿宋" w:cs="仿宋"/>
          <w:kern w:val="0"/>
          <w:sz w:val="24"/>
        </w:rPr>
      </w:pPr>
      <w:r>
        <w:rPr>
          <w:rFonts w:hint="eastAsia" w:ascii="仿宋" w:hAnsi="仿宋" w:eastAsia="仿宋" w:cs="仿宋"/>
          <w:kern w:val="0"/>
          <w:sz w:val="24"/>
        </w:rPr>
        <w:t>(3)乙方按要求完成所有整套一体化生活污水处理设备通水调试且经甲方终验合格后，甲方向乙方支付至合同价款的95%；剩余5%货款作为质保。</w:t>
      </w:r>
    </w:p>
    <w:p>
      <w:pPr>
        <w:widowControl/>
        <w:adjustRightInd w:val="0"/>
        <w:snapToGrid w:val="0"/>
        <w:spacing w:line="500" w:lineRule="exact"/>
        <w:ind w:left="210" w:leftChars="100" w:firstLine="240" w:firstLineChars="100"/>
        <w:jc w:val="left"/>
        <w:rPr>
          <w:rFonts w:ascii="仿宋" w:hAnsi="仿宋" w:eastAsia="仿宋" w:cs="仿宋"/>
          <w:kern w:val="0"/>
          <w:sz w:val="24"/>
          <w:lang w:eastAsia="ja-JP"/>
        </w:rPr>
      </w:pPr>
      <w:r>
        <w:rPr>
          <w:rFonts w:hint="eastAsia" w:ascii="仿宋" w:hAnsi="仿宋" w:eastAsia="仿宋" w:cs="仿宋"/>
          <w:kern w:val="0"/>
          <w:sz w:val="24"/>
          <w:lang w:eastAsia="ja-JP"/>
        </w:rPr>
        <w:t>质保期满后</w:t>
      </w:r>
      <w:r>
        <w:rPr>
          <w:rFonts w:hint="eastAsia" w:ascii="仿宋" w:hAnsi="仿宋" w:eastAsia="仿宋" w:cs="仿宋"/>
          <w:kern w:val="0"/>
          <w:sz w:val="24"/>
        </w:rPr>
        <w:t>两</w:t>
      </w:r>
      <w:r>
        <w:rPr>
          <w:rFonts w:hint="eastAsia" w:ascii="仿宋" w:hAnsi="仿宋" w:eastAsia="仿宋" w:cs="仿宋"/>
          <w:kern w:val="0"/>
          <w:sz w:val="24"/>
          <w:lang w:eastAsia="ja-JP"/>
        </w:rPr>
        <w:t>年内乙方仍未向甲方申请退还质保金的，已付款视为结算款，即乙方自愿放弃质保金。甲方付款</w:t>
      </w:r>
      <w:r>
        <w:rPr>
          <w:rFonts w:hint="eastAsia" w:ascii="仿宋" w:hAnsi="仿宋" w:eastAsia="仿宋" w:cs="仿宋"/>
          <w:kern w:val="0"/>
          <w:sz w:val="24"/>
        </w:rPr>
        <w:t>（95%）</w:t>
      </w:r>
      <w:r>
        <w:rPr>
          <w:rFonts w:hint="eastAsia" w:ascii="仿宋" w:hAnsi="仿宋" w:eastAsia="仿宋" w:cs="仿宋"/>
          <w:kern w:val="0"/>
          <w:sz w:val="24"/>
          <w:lang w:eastAsia="ja-JP"/>
        </w:rPr>
        <w:t>前乙方应提供</w:t>
      </w:r>
      <w:r>
        <w:rPr>
          <w:rFonts w:hint="eastAsia" w:ascii="仿宋" w:hAnsi="仿宋" w:eastAsia="仿宋" w:cs="仿宋"/>
          <w:kern w:val="0"/>
          <w:sz w:val="24"/>
        </w:rPr>
        <w:t>全</w:t>
      </w:r>
      <w:r>
        <w:rPr>
          <w:rFonts w:hint="eastAsia" w:ascii="仿宋" w:hAnsi="仿宋" w:eastAsia="仿宋" w:cs="仿宋"/>
          <w:kern w:val="0"/>
          <w:sz w:val="24"/>
          <w:lang w:eastAsia="ja-JP"/>
        </w:rPr>
        <w:t>额的增值税专用发票，否则甲方有权延迟付款并不承担违约责任。</w:t>
      </w:r>
    </w:p>
    <w:p>
      <w:pPr>
        <w:widowControl/>
        <w:numPr>
          <w:ilvl w:val="3"/>
          <w:numId w:val="8"/>
        </w:numPr>
        <w:adjustRightInd w:val="0"/>
        <w:snapToGrid w:val="0"/>
        <w:spacing w:line="500" w:lineRule="exact"/>
        <w:ind w:firstLine="480" w:firstLineChars="200"/>
        <w:jc w:val="left"/>
        <w:rPr>
          <w:rFonts w:ascii="仿宋" w:hAnsi="仿宋" w:eastAsia="仿宋" w:cs="仿宋"/>
          <w:sz w:val="24"/>
        </w:rPr>
      </w:pPr>
      <w:r>
        <w:rPr>
          <w:rFonts w:hint="eastAsia" w:ascii="仿宋" w:hAnsi="仿宋" w:eastAsia="仿宋" w:cs="仿宋"/>
          <w:sz w:val="24"/>
        </w:rPr>
        <w:t>本合同执行固定不变价格，在合同履行期间乙方不得以任何理由予以变更。</w:t>
      </w:r>
    </w:p>
    <w:p>
      <w:pPr>
        <w:widowControl/>
        <w:numPr>
          <w:ilvl w:val="3"/>
          <w:numId w:val="8"/>
        </w:numPr>
        <w:adjustRightInd w:val="0"/>
        <w:snapToGrid w:val="0"/>
        <w:spacing w:line="500" w:lineRule="exact"/>
        <w:ind w:firstLine="480" w:firstLineChars="200"/>
        <w:jc w:val="left"/>
        <w:rPr>
          <w:rFonts w:ascii="仿宋" w:hAnsi="仿宋" w:eastAsia="仿宋" w:cs="仿宋"/>
          <w:sz w:val="24"/>
        </w:rPr>
      </w:pPr>
      <w:r>
        <w:rPr>
          <w:rFonts w:hint="eastAsia" w:ascii="仿宋" w:hAnsi="仿宋" w:eastAsia="仿宋" w:cs="仿宋"/>
          <w:sz w:val="24"/>
        </w:rPr>
        <w:t>甲方将采用下列付款方式中的一种进行付款：</w:t>
      </w:r>
    </w:p>
    <w:p>
      <w:pPr>
        <w:widowControl/>
        <w:numPr>
          <w:ilvl w:val="255"/>
          <w:numId w:val="0"/>
        </w:numPr>
        <w:adjustRightInd w:val="0"/>
        <w:snapToGrid w:val="0"/>
        <w:spacing w:line="500" w:lineRule="exact"/>
        <w:ind w:firstLine="420" w:firstLineChars="200"/>
        <w:jc w:val="left"/>
        <w:rPr>
          <w:rFonts w:ascii="仿宋" w:hAnsi="仿宋" w:eastAsia="仿宋" w:cs="仿宋"/>
        </w:rPr>
      </w:pPr>
      <w:r>
        <w:rPr>
          <w:rFonts w:hint="eastAsia" w:ascii="仿宋" w:hAnsi="仿宋" w:eastAsia="仿宋" w:cs="仿宋"/>
        </w:rPr>
        <w:t>A.转账付款（支票、网银、电汇）；B.银行汇票;C.信用证；D.商业汇票；E.保理。</w:t>
      </w:r>
    </w:p>
    <w:p>
      <w:pPr>
        <w:widowControl/>
        <w:numPr>
          <w:ilvl w:val="3"/>
          <w:numId w:val="8"/>
        </w:numPr>
        <w:adjustRightInd w:val="0"/>
        <w:snapToGrid w:val="0"/>
        <w:spacing w:line="500" w:lineRule="exact"/>
        <w:ind w:firstLine="480" w:firstLineChars="200"/>
        <w:jc w:val="left"/>
        <w:rPr>
          <w:rFonts w:ascii="仿宋" w:hAnsi="仿宋" w:eastAsia="仿宋" w:cs="仿宋"/>
          <w:sz w:val="24"/>
          <w:lang w:eastAsia="ja-JP"/>
        </w:rPr>
      </w:pPr>
      <w:r>
        <w:rPr>
          <w:rFonts w:hint="eastAsia" w:ascii="仿宋" w:hAnsi="仿宋" w:eastAsia="仿宋" w:cs="仿宋"/>
          <w:sz w:val="24"/>
          <w:lang w:eastAsia="ja-JP"/>
        </w:rPr>
        <w:t>乙方承诺并确认：</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（1）本合同签署的乙方公司名称与发票开具单位及收款单位一致，乙方不得以任何理由在合同执行过程中要求调整发票开具单位或收款单位。</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（2）乙方提供增值税专用发票必须与甲方办理发票交接手续，无甲方经办人员签认，视为乙方未提供增值税专用发票，如发生增值税专用发票丢失，由乙方承担责任。</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（3）如因乙方开具的发票不合法或不能认证抵扣进项税额的，乙方同意承担由此给甲方造成的一切损失（包括但不限于税款、滞纳金、行政罚款及相关损失等）。</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4）乙方账户必须是合同约定的在主管国税机关备案的账户，若账户变更应及时通知甲方，并签订合同变更或补充合同；如乙方随意改变账户，甲方将拒付货款，由此引起的延期付款责任及相关的损失由乙方承担。</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5）如果甲方丢失增值税专用发票联和抵扣联，如已认证相符，乙方应向甲方提供专用发票记账联复印件及主管税务机关出具的《丢失增值税专用发票已报税证明单》；如未经认证，乙方须提供相应专用发票记账联复印件供甲方认证。</w:t>
      </w:r>
    </w:p>
    <w:p>
      <w:pPr>
        <w:spacing w:line="360" w:lineRule="auto"/>
        <w:ind w:firstLine="566" w:firstLineChars="236"/>
        <w:rPr>
          <w:rFonts w:ascii="仿宋" w:hAnsi="仿宋" w:eastAsia="仿宋" w:cs="仿宋"/>
          <w:kern w:val="0"/>
          <w:sz w:val="24"/>
          <w:lang w:eastAsia="ja-JP"/>
        </w:rPr>
      </w:pPr>
      <w:r>
        <w:rPr>
          <w:rFonts w:hint="eastAsia" w:ascii="仿宋" w:hAnsi="仿宋" w:eastAsia="仿宋" w:cs="仿宋"/>
          <w:kern w:val="0"/>
          <w:sz w:val="24"/>
          <w:lang w:eastAsia="ja-JP"/>
        </w:rPr>
        <w:t>（6）增值税专用发票必须保持票面干净、整齐, 发票的正反两面均不能留下任何脏、乱及签字的痕迹。</w:t>
      </w:r>
    </w:p>
    <w:p>
      <w:pPr>
        <w:widowControl/>
        <w:numPr>
          <w:ilvl w:val="3"/>
          <w:numId w:val="8"/>
        </w:numPr>
        <w:adjustRightInd w:val="0"/>
        <w:snapToGrid w:val="0"/>
        <w:spacing w:line="500" w:lineRule="exact"/>
        <w:ind w:firstLine="480" w:firstLineChars="200"/>
        <w:jc w:val="left"/>
        <w:rPr>
          <w:rFonts w:ascii="仿宋" w:hAnsi="仿宋" w:eastAsia="仿宋" w:cs="仿宋"/>
          <w:sz w:val="24"/>
          <w:lang w:eastAsia="ja-JP"/>
        </w:rPr>
      </w:pPr>
      <w:r>
        <w:rPr>
          <w:rFonts w:hint="eastAsia" w:ascii="仿宋" w:hAnsi="仿宋" w:eastAsia="仿宋" w:cs="仿宋"/>
          <w:sz w:val="24"/>
          <w:lang w:eastAsia="ja-JP"/>
        </w:rPr>
        <w:t>乙方指定的收款账户如下并保证其真实有效：</w:t>
      </w:r>
    </w:p>
    <w:p>
      <w:pPr>
        <w:widowControl/>
        <w:tabs>
          <w:tab w:val="left" w:pos="921"/>
        </w:tabs>
        <w:adjustRightInd w:val="0"/>
        <w:snapToGrid w:val="0"/>
        <w:spacing w:line="500" w:lineRule="exact"/>
        <w:ind w:firstLine="480" w:firstLineChars="200"/>
        <w:jc w:val="left"/>
        <w:rPr>
          <w:rFonts w:ascii="仿宋" w:hAnsi="仿宋" w:eastAsia="仿宋" w:cs="仿宋"/>
          <w:kern w:val="0"/>
          <w:sz w:val="24"/>
          <w:u w:val="single"/>
        </w:rPr>
      </w:pPr>
      <w:r>
        <w:rPr>
          <w:rFonts w:hint="eastAsia" w:ascii="仿宋" w:hAnsi="仿宋" w:eastAsia="仿宋" w:cs="仿宋"/>
          <w:kern w:val="0"/>
          <w:sz w:val="24"/>
          <w:lang w:eastAsia="ja-JP"/>
        </w:rPr>
        <w:t>乙方指定收款账户名称：</w:t>
      </w:r>
      <w:r>
        <w:rPr>
          <w:rFonts w:hint="eastAsia" w:ascii="仿宋" w:hAnsi="仿宋" w:eastAsia="仿宋" w:cs="仿宋"/>
          <w:kern w:val="0"/>
          <w:sz w:val="24"/>
          <w:u w:val="single"/>
        </w:rPr>
        <w:t xml:space="preserve">                                </w:t>
      </w:r>
    </w:p>
    <w:p>
      <w:pPr>
        <w:widowControl/>
        <w:tabs>
          <w:tab w:val="left" w:pos="921"/>
        </w:tabs>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乙方指定收款账户的开户行名称：</w:t>
      </w:r>
      <w:r>
        <w:rPr>
          <w:rFonts w:hint="eastAsia" w:ascii="仿宋" w:hAnsi="仿宋" w:eastAsia="仿宋" w:cs="仿宋"/>
          <w:kern w:val="0"/>
          <w:sz w:val="24"/>
          <w:u w:val="single"/>
        </w:rPr>
        <w:t xml:space="preserve">                                </w:t>
      </w:r>
    </w:p>
    <w:p>
      <w:pPr>
        <w:widowControl/>
        <w:tabs>
          <w:tab w:val="left" w:pos="921"/>
        </w:tabs>
        <w:adjustRightInd w:val="0"/>
        <w:snapToGrid w:val="0"/>
        <w:spacing w:line="500" w:lineRule="exact"/>
        <w:ind w:firstLine="480" w:firstLineChars="200"/>
        <w:jc w:val="left"/>
        <w:rPr>
          <w:rFonts w:ascii="仿宋" w:hAnsi="仿宋" w:eastAsia="仿宋" w:cs="仿宋"/>
          <w:kern w:val="0"/>
          <w:sz w:val="24"/>
          <w:u w:val="single"/>
        </w:rPr>
      </w:pPr>
      <w:r>
        <w:rPr>
          <w:rFonts w:hint="eastAsia" w:ascii="仿宋" w:hAnsi="仿宋" w:eastAsia="仿宋" w:cs="仿宋"/>
          <w:kern w:val="0"/>
          <w:sz w:val="24"/>
          <w:lang w:eastAsia="ja-JP"/>
        </w:rPr>
        <w:t>乙方指定收款账户的开户行账号：</w:t>
      </w:r>
      <w:r>
        <w:rPr>
          <w:rFonts w:hint="eastAsia" w:ascii="仿宋" w:hAnsi="仿宋" w:eastAsia="仿宋" w:cs="仿宋"/>
          <w:kern w:val="0"/>
          <w:sz w:val="24"/>
          <w:u w:val="single"/>
        </w:rPr>
        <w:t xml:space="preserve">                                </w:t>
      </w:r>
    </w:p>
    <w:p>
      <w:pPr>
        <w:widowControl/>
        <w:numPr>
          <w:ilvl w:val="0"/>
          <w:numId w:val="5"/>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质保条款</w:t>
      </w:r>
    </w:p>
    <w:p>
      <w:pPr>
        <w:widowControl/>
        <w:numPr>
          <w:ilvl w:val="3"/>
          <w:numId w:val="9"/>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本项目所有设备质保期为</w:t>
      </w:r>
      <w:r>
        <w:rPr>
          <w:rFonts w:hint="eastAsia" w:ascii="仿宋" w:hAnsi="仿宋" w:eastAsia="仿宋" w:cs="仿宋"/>
          <w:kern w:val="0"/>
          <w:sz w:val="24"/>
        </w:rPr>
        <w:t>2</w:t>
      </w:r>
      <w:r>
        <w:rPr>
          <w:rFonts w:hint="eastAsia" w:ascii="仿宋" w:hAnsi="仿宋" w:eastAsia="仿宋" w:cs="仿宋"/>
          <w:kern w:val="0"/>
          <w:sz w:val="24"/>
          <w:lang w:eastAsia="ja-JP"/>
        </w:rPr>
        <w:t>年免费保修（乙方承诺优于此的以乙方承诺为准），保修期自终验验收合格甲方代表签字之日起计算。</w:t>
      </w:r>
    </w:p>
    <w:p>
      <w:pPr>
        <w:widowControl/>
        <w:numPr>
          <w:ilvl w:val="3"/>
          <w:numId w:val="9"/>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在质保期内，乙方须负责货物的保修工作，非因操作不当造成的故障由乙方负责包修、包换，产生的所有费用由乙方负责；若乙方对质量问题存在异议，也应当先向甲方履行质保服务义务，经双方认可的检定中心检验后，若认定货物不存在质量问题，则甲方应当向乙方支付成本费。</w:t>
      </w:r>
    </w:p>
    <w:p>
      <w:pPr>
        <w:widowControl/>
        <w:numPr>
          <w:ilvl w:val="3"/>
          <w:numId w:val="9"/>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乙方维修所更换的零部件必须是原厂的产品。</w:t>
      </w:r>
    </w:p>
    <w:p>
      <w:pPr>
        <w:widowControl/>
        <w:numPr>
          <w:ilvl w:val="3"/>
          <w:numId w:val="9"/>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在质保期内设备运行发生故障，造成甲方或用户损失的乙方应承担全部赔偿责任。乙方应在接到甲方故障通知后委派专业技术人员在6小时内到现场免费提供咨询、维修和更换零部件等服务，并及时填写维修报告（包括故障原因、处理情况及甲方意见等）报甲方备案，若48小时内无法排除故障，则应先提供同档次备用机供甲方使用，发生一切费用由乙方承担；若乙方未按前述要求提供质保服务，则甲方有权另请他人维修，维修费用及全部损失由乙方承担，甲方有权从质保金中直接扣除。</w:t>
      </w:r>
    </w:p>
    <w:p>
      <w:pPr>
        <w:widowControl/>
        <w:numPr>
          <w:ilvl w:val="3"/>
          <w:numId w:val="9"/>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质保期内乙方需每</w:t>
      </w:r>
      <w:r>
        <w:rPr>
          <w:rFonts w:hint="eastAsia" w:ascii="仿宋" w:hAnsi="仿宋" w:eastAsia="仿宋" w:cs="仿宋"/>
          <w:kern w:val="0"/>
          <w:sz w:val="24"/>
        </w:rPr>
        <w:t>季度</w:t>
      </w:r>
      <w:r>
        <w:rPr>
          <w:rFonts w:hint="eastAsia" w:ascii="仿宋" w:hAnsi="仿宋" w:eastAsia="仿宋" w:cs="仿宋"/>
          <w:kern w:val="0"/>
          <w:sz w:val="24"/>
          <w:lang w:eastAsia="ja-JP"/>
        </w:rPr>
        <w:t>对合同包内货物进行</w:t>
      </w:r>
      <w:r>
        <w:rPr>
          <w:rFonts w:hint="eastAsia" w:ascii="仿宋" w:hAnsi="仿宋" w:eastAsia="仿宋" w:cs="仿宋"/>
          <w:kern w:val="0"/>
          <w:sz w:val="24"/>
        </w:rPr>
        <w:t>巡检</w:t>
      </w:r>
      <w:r>
        <w:rPr>
          <w:rFonts w:hint="eastAsia" w:ascii="仿宋" w:hAnsi="仿宋" w:eastAsia="仿宋" w:cs="仿宋"/>
          <w:kern w:val="0"/>
          <w:sz w:val="24"/>
          <w:lang w:eastAsia="ja-JP"/>
        </w:rPr>
        <w:t>1次，甲方将不定期进行抽查，若合同包内货物在1年内出现3次及以上产品质量问题的，甲方有权要求乙方支付合同总金额5%的违约金且乙方需无条件的更换质量问题的产品，所产生的费用和责任由乙方承担。</w:t>
      </w:r>
    </w:p>
    <w:p>
      <w:pPr>
        <w:widowControl/>
        <w:numPr>
          <w:ilvl w:val="3"/>
          <w:numId w:val="9"/>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乙方须提供每年至少一次培训计划，培训人数不少于5人，培训时间不少于24小时。</w:t>
      </w:r>
    </w:p>
    <w:p>
      <w:pPr>
        <w:widowControl/>
        <w:numPr>
          <w:ilvl w:val="3"/>
          <w:numId w:val="9"/>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本合同所购置的货物售后服务按乙方对本次</w:t>
      </w:r>
      <w:r>
        <w:rPr>
          <w:rFonts w:hint="eastAsia" w:ascii="仿宋" w:hAnsi="仿宋" w:eastAsia="仿宋" w:cs="仿宋"/>
          <w:kern w:val="0"/>
          <w:sz w:val="24"/>
        </w:rPr>
        <w:t>询价函</w:t>
      </w:r>
      <w:r>
        <w:rPr>
          <w:rFonts w:hint="eastAsia" w:ascii="仿宋" w:hAnsi="仿宋" w:eastAsia="仿宋" w:cs="仿宋"/>
          <w:kern w:val="0"/>
          <w:sz w:val="24"/>
          <w:lang w:eastAsia="ja-JP"/>
        </w:rPr>
        <w:t>中有关质量保证和售后服务的有关条款执行，国家有更严格规定的按国家规定执行。</w:t>
      </w:r>
    </w:p>
    <w:p>
      <w:pPr>
        <w:widowControl/>
        <w:numPr>
          <w:ilvl w:val="0"/>
          <w:numId w:val="5"/>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rPr>
        <w:t>违约责任</w:t>
      </w:r>
    </w:p>
    <w:p>
      <w:pPr>
        <w:widowControl/>
        <w:numPr>
          <w:ilvl w:val="3"/>
          <w:numId w:val="1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未得到甲方许可，乙方擅自将本合同货物或服务分包、转包给其他单位的，甲方有权单方解除本合同并没收履约担保，乙方还应当向甲方支付合同总金额10%作为违约金，如不足以弥补甲方损失的还应赔偿甲方损失。</w:t>
      </w:r>
    </w:p>
    <w:p>
      <w:pPr>
        <w:widowControl/>
        <w:numPr>
          <w:ilvl w:val="3"/>
          <w:numId w:val="1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甲方未按合同规定的时间和要求承付货款，乙方有权追究甲方违约责任。但因第三方单位延迟支付款项导致甲方向乙方延迟支付的，甲方无须承担违约责任。</w:t>
      </w:r>
    </w:p>
    <w:p>
      <w:pPr>
        <w:widowControl/>
        <w:numPr>
          <w:ilvl w:val="3"/>
          <w:numId w:val="1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甲方无正当理由不接收或不及时验收的，乙方有权按国家有关法规追究甲方违约责任。</w:t>
      </w:r>
    </w:p>
    <w:p>
      <w:pPr>
        <w:widowControl/>
        <w:numPr>
          <w:ilvl w:val="3"/>
          <w:numId w:val="1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乙方延迟交付货物或未按合同期限完成设备安装并验收合格的，每延迟一日按合同总金额的2‰向甲方支付违约金。非因甲方原因和不可抗力原因乙方交付货物并通过验收的日期晚于</w:t>
      </w:r>
      <w:r>
        <w:rPr>
          <w:rFonts w:hint="eastAsia" w:ascii="仿宋" w:hAnsi="仿宋" w:eastAsia="仿宋" w:cs="仿宋"/>
          <w:kern w:val="0"/>
          <w:sz w:val="24"/>
        </w:rPr>
        <w:t>合同约定时限</w:t>
      </w:r>
      <w:r>
        <w:rPr>
          <w:rFonts w:hint="eastAsia" w:ascii="仿宋" w:hAnsi="仿宋" w:eastAsia="仿宋" w:cs="仿宋"/>
          <w:kern w:val="0"/>
          <w:sz w:val="24"/>
          <w:lang w:eastAsia="ja-JP"/>
        </w:rPr>
        <w:t>的，甲方有权解除合同没收履约担保，并要求乙方支付合同总金额10%的违约金，如不足以弥补甲方损失的还应赔偿甲方损失。</w:t>
      </w:r>
    </w:p>
    <w:p>
      <w:pPr>
        <w:widowControl/>
        <w:numPr>
          <w:ilvl w:val="3"/>
          <w:numId w:val="1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货物存在质量问题或存在其它不符合合同要求的情形的，甲方有权选择全部换货或解除合同。</w:t>
      </w:r>
    </w:p>
    <w:p>
      <w:pPr>
        <w:widowControl/>
        <w:numPr>
          <w:ilvl w:val="255"/>
          <w:numId w:val="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(1)甲方选择全部换货的，乙方应当全部给予更换，并支付合同总金额5%的违约金。由此造成迟延交付的，按照本合同规定继续承担违约责任。更换的产品还不能检验合格的，甲方有权要求解除合同没收履约担保，乙方应再支付合同总金额5%的违约金，并承担检验测试费、运输费、人工费等由此产生的一切费用以及给甲方造成的全部经济损失。</w:t>
      </w:r>
    </w:p>
    <w:p>
      <w:pPr>
        <w:widowControl/>
        <w:numPr>
          <w:ilvl w:val="255"/>
          <w:numId w:val="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(2)甲方选择解除合同没收履约担保的，乙方应支付合同总金额10%的违约金，并承担检验测试费、运输费、人工费等由此产生的一切费用以及给甲方造成的全部经济损失。</w:t>
      </w:r>
    </w:p>
    <w:p>
      <w:pPr>
        <w:widowControl/>
        <w:numPr>
          <w:ilvl w:val="3"/>
          <w:numId w:val="1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在质保期内未及时履行质保责任的，甲方有权自行委托他人进行维修等服务，费用从质保金中扣除并按每次2000元的标准扣取违约金。同时，质保期内发生质量问题的货物，其质保期从更换、修复且重新验收合格之日起重新计算。</w:t>
      </w:r>
    </w:p>
    <w:p>
      <w:pPr>
        <w:widowControl/>
        <w:numPr>
          <w:ilvl w:val="3"/>
          <w:numId w:val="1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签订本合同之后，乙方在合同履行期间无正当理由单方解除合同的，或明确表示不履约或以其行为表明不再履行合同的，视为乙方严重违约，甲方有权单方终止合同并没收履约担保，同时乙方应按本合同总价的10%向甲方支付违约金，并赔偿因此给甲方造成的损失。</w:t>
      </w:r>
    </w:p>
    <w:p>
      <w:pPr>
        <w:widowControl/>
        <w:numPr>
          <w:ilvl w:val="3"/>
          <w:numId w:val="1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因乙方原因发生质量事故、重大或特大安全事故、死亡事故等，造成的经济损失、财产人员损伤及行政责任、刑事责任、民事责任由乙方根据有关法律法规规章规定全权承担，甲方报建设行政主管部门处理。同时，甲方有权单方终止合同并没收履约保证金，并要求乙方按本合同总价款的20%向甲方支付违约金，给甲方造成损失的，乙方应赔偿甲方实际损失。</w:t>
      </w:r>
    </w:p>
    <w:p>
      <w:pPr>
        <w:widowControl/>
        <w:numPr>
          <w:ilvl w:val="3"/>
          <w:numId w:val="1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由于乙方原因导致发票无法抵扣税率的，甲方有权按发票金额的相应税率要求乙方给予经济补偿。经济补偿不足以弥补甲方损失的，乙方应赔偿甲方实际损失。</w:t>
      </w:r>
    </w:p>
    <w:p>
      <w:pPr>
        <w:widowControl/>
        <w:numPr>
          <w:ilvl w:val="3"/>
          <w:numId w:val="1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本合同违约金的设定已充分考虑合同交易目的、双方预期利益等综合因素，双方对违约责任的合理性有充分的认知和理解，同意在违约时按合同约定承担相应后果，并在发生纠纷诉请法院/仲裁机构解决争议时，放弃请求法院/仲裁机构调减违约金金额</w:t>
      </w:r>
    </w:p>
    <w:p>
      <w:pPr>
        <w:widowControl/>
        <w:numPr>
          <w:ilvl w:val="3"/>
          <w:numId w:val="1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上述违约金、赔偿金等费用甲方有权从未付货款或者乙方的履约担保中直接扣除。</w:t>
      </w:r>
    </w:p>
    <w:p>
      <w:pPr>
        <w:widowControl/>
        <w:numPr>
          <w:ilvl w:val="3"/>
          <w:numId w:val="1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其它违约情况按《中华人民共和国民法典》有关条款规定处理。</w:t>
      </w:r>
    </w:p>
    <w:p>
      <w:pPr>
        <w:widowControl/>
        <w:numPr>
          <w:ilvl w:val="0"/>
          <w:numId w:val="5"/>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通知送达</w:t>
      </w:r>
    </w:p>
    <w:p>
      <w:pPr>
        <w:widowControl/>
        <w:numPr>
          <w:ilvl w:val="3"/>
          <w:numId w:val="11"/>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合同各方就履行合同及发行纠纷时，涉及各类通知、协议等文件以及法院、仲裁等司法机关各阶段审理或强制执行涉及的法律文书的送达地址如下：</w:t>
      </w:r>
    </w:p>
    <w:p>
      <w:pPr>
        <w:widowControl/>
        <w:adjustRightInd w:val="0"/>
        <w:snapToGrid w:val="0"/>
        <w:spacing w:line="500" w:lineRule="exact"/>
        <w:ind w:firstLine="480" w:firstLineChars="200"/>
        <w:jc w:val="left"/>
        <w:rPr>
          <w:rFonts w:ascii="仿宋" w:hAnsi="仿宋" w:eastAsia="仿宋" w:cs="仿宋"/>
          <w:kern w:val="0"/>
          <w:sz w:val="24"/>
        </w:rPr>
      </w:pPr>
      <w:r>
        <w:rPr>
          <w:rFonts w:hint="eastAsia" w:ascii="仿宋" w:hAnsi="仿宋" w:eastAsia="仿宋" w:cs="仿宋"/>
          <w:kern w:val="0"/>
          <w:sz w:val="24"/>
          <w:lang w:eastAsia="ja-JP"/>
        </w:rPr>
        <w:t xml:space="preserve">（1）发给甲方的通知地址： </w:t>
      </w:r>
    </w:p>
    <w:p>
      <w:pPr>
        <w:widowControl/>
        <w:adjustRightInd w:val="0"/>
        <w:snapToGrid w:val="0"/>
        <w:spacing w:line="500" w:lineRule="exact"/>
        <w:ind w:left="420" w:leftChars="200"/>
        <w:jc w:val="left"/>
        <w:rPr>
          <w:rFonts w:ascii="仿宋" w:hAnsi="仿宋" w:eastAsia="仿宋" w:cs="仿宋"/>
          <w:kern w:val="0"/>
          <w:sz w:val="24"/>
        </w:rPr>
      </w:pPr>
      <w:r>
        <w:rPr>
          <w:rFonts w:hint="eastAsia" w:ascii="仿宋" w:hAnsi="仿宋" w:eastAsia="仿宋" w:cs="仿宋"/>
          <w:kern w:val="0"/>
          <w:sz w:val="24"/>
          <w:lang w:eastAsia="ja-JP"/>
        </w:rPr>
        <w:t>收件人：</w:t>
      </w:r>
      <w:r>
        <w:rPr>
          <w:rFonts w:hint="eastAsia" w:ascii="仿宋" w:hAnsi="仿宋" w:eastAsia="仿宋" w:cs="仿宋"/>
          <w:kern w:val="0"/>
          <w:sz w:val="24"/>
        </w:rPr>
        <w:t>林工</w:t>
      </w:r>
    </w:p>
    <w:p>
      <w:pPr>
        <w:widowControl/>
        <w:adjustRightInd w:val="0"/>
        <w:snapToGrid w:val="0"/>
        <w:spacing w:line="500" w:lineRule="exact"/>
        <w:ind w:left="420" w:leftChars="200"/>
        <w:jc w:val="left"/>
        <w:rPr>
          <w:rFonts w:ascii="仿宋" w:hAnsi="仿宋" w:eastAsia="仿宋" w:cs="仿宋"/>
          <w:kern w:val="0"/>
          <w:sz w:val="24"/>
        </w:rPr>
      </w:pPr>
      <w:r>
        <w:rPr>
          <w:rFonts w:hint="eastAsia" w:ascii="仿宋" w:hAnsi="仿宋" w:eastAsia="仿宋" w:cs="仿宋"/>
          <w:kern w:val="0"/>
          <w:sz w:val="24"/>
          <w:lang w:eastAsia="ja-JP"/>
        </w:rPr>
        <w:t>收件地址：</w:t>
      </w:r>
      <w:r>
        <w:rPr>
          <w:rFonts w:hint="eastAsia" w:ascii="仿宋" w:hAnsi="仿宋" w:eastAsia="仿宋" w:cs="仿宋"/>
          <w:kern w:val="0"/>
          <w:sz w:val="24"/>
        </w:rPr>
        <w:t>福州市长乐区文武砂镇漳江路公交首末站3楼市场合约部</w:t>
      </w:r>
    </w:p>
    <w:p>
      <w:pPr>
        <w:widowControl/>
        <w:adjustRightInd w:val="0"/>
        <w:snapToGrid w:val="0"/>
        <w:spacing w:line="500" w:lineRule="exact"/>
        <w:ind w:left="420" w:leftChars="200"/>
        <w:jc w:val="left"/>
        <w:rPr>
          <w:rFonts w:ascii="仿宋" w:hAnsi="仿宋" w:eastAsia="仿宋" w:cs="仿宋"/>
          <w:kern w:val="0"/>
          <w:sz w:val="24"/>
        </w:rPr>
      </w:pPr>
      <w:r>
        <w:rPr>
          <w:rFonts w:hint="eastAsia" w:ascii="仿宋" w:hAnsi="仿宋" w:eastAsia="仿宋" w:cs="仿宋"/>
          <w:kern w:val="0"/>
          <w:sz w:val="24"/>
          <w:lang w:eastAsia="ja-JP"/>
        </w:rPr>
        <w:t>联系电话：</w:t>
      </w:r>
      <w:r>
        <w:rPr>
          <w:rFonts w:hint="eastAsia" w:ascii="仿宋" w:hAnsi="仿宋" w:eastAsia="仿宋" w:cs="仿宋"/>
          <w:kern w:val="0"/>
          <w:sz w:val="24"/>
        </w:rPr>
        <w:t>0591-28559620</w:t>
      </w:r>
    </w:p>
    <w:p>
      <w:pPr>
        <w:widowControl/>
        <w:adjustRightInd w:val="0"/>
        <w:snapToGrid w:val="0"/>
        <w:spacing w:line="500" w:lineRule="exact"/>
        <w:ind w:firstLine="480" w:firstLineChars="200"/>
        <w:jc w:val="left"/>
        <w:rPr>
          <w:rFonts w:ascii="仿宋" w:hAnsi="仿宋" w:eastAsia="仿宋" w:cs="仿宋"/>
          <w:kern w:val="0"/>
          <w:sz w:val="24"/>
          <w:u w:val="single"/>
          <w:lang w:eastAsia="ja-JP"/>
        </w:rPr>
      </w:pPr>
      <w:r>
        <w:rPr>
          <w:rFonts w:hint="eastAsia" w:ascii="仿宋" w:hAnsi="仿宋" w:eastAsia="仿宋" w:cs="仿宋"/>
          <w:kern w:val="0"/>
          <w:sz w:val="24"/>
          <w:lang w:eastAsia="ja-JP"/>
        </w:rPr>
        <w:t>（2）乙方确认其有效的送达地址：</w:t>
      </w:r>
      <w:r>
        <w:rPr>
          <w:rFonts w:hint="eastAsia" w:ascii="仿宋" w:hAnsi="仿宋" w:eastAsia="仿宋" w:cs="仿宋"/>
          <w:kern w:val="0"/>
          <w:sz w:val="24"/>
          <w:u w:val="single"/>
          <w:lang w:eastAsia="ja-JP"/>
        </w:rPr>
        <w:t xml:space="preserve">    XXX   </w:t>
      </w:r>
    </w:p>
    <w:p>
      <w:pPr>
        <w:widowControl/>
        <w:adjustRightInd w:val="0"/>
        <w:snapToGrid w:val="0"/>
        <w:spacing w:line="500" w:lineRule="exact"/>
        <w:ind w:firstLine="480" w:firstLineChars="200"/>
        <w:jc w:val="left"/>
        <w:rPr>
          <w:rFonts w:ascii="仿宋" w:hAnsi="仿宋" w:eastAsia="仿宋" w:cs="仿宋"/>
          <w:kern w:val="0"/>
          <w:sz w:val="24"/>
          <w:u w:val="single"/>
          <w:lang w:eastAsia="ja-JP"/>
        </w:rPr>
      </w:pPr>
      <w:r>
        <w:rPr>
          <w:rFonts w:hint="eastAsia" w:ascii="仿宋" w:hAnsi="仿宋" w:eastAsia="仿宋" w:cs="仿宋"/>
          <w:kern w:val="0"/>
          <w:sz w:val="24"/>
          <w:u w:val="single"/>
          <w:lang w:eastAsia="ja-JP"/>
        </w:rPr>
        <w:t xml:space="preserve">联络人：    XXX    电话：    XXX   </w:t>
      </w:r>
    </w:p>
    <w:p>
      <w:pPr>
        <w:widowControl/>
        <w:numPr>
          <w:ilvl w:val="3"/>
          <w:numId w:val="11"/>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合同任意一方如需变更上述送达地址及联络方式的应当提前以书面方式通知对方。</w:t>
      </w:r>
    </w:p>
    <w:p>
      <w:pPr>
        <w:widowControl/>
        <w:numPr>
          <w:ilvl w:val="3"/>
          <w:numId w:val="11"/>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合同一方当事人或法院、仲裁等机关，发送的各类文件、文书，均可按上述送达地址，直接邮寄。</w:t>
      </w:r>
    </w:p>
    <w:p>
      <w:pPr>
        <w:widowControl/>
        <w:numPr>
          <w:ilvl w:val="3"/>
          <w:numId w:val="11"/>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任意一方当事人提供或者确认的送达地址不准确、送达地址变更后未及时依程序告知对方和拒绝签收等原因，导致合同一方当事人或法院、仲裁等机关发送的各类文件、文书，未能被当事人实际接收的，以邮寄文书投递之日起三日或者相关邮寄文件退回之日视为送达之日（以先到日期为准）。</w:t>
      </w:r>
    </w:p>
    <w:p>
      <w:pPr>
        <w:widowControl/>
        <w:numPr>
          <w:ilvl w:val="3"/>
          <w:numId w:val="11"/>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如果甲方提出索赔通知后15天内乙方未能予以答复，该索赔应视为已被乙方接受。</w:t>
      </w:r>
    </w:p>
    <w:p>
      <w:pPr>
        <w:widowControl/>
        <w:numPr>
          <w:ilvl w:val="0"/>
          <w:numId w:val="5"/>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合同争议解决方式</w:t>
      </w:r>
    </w:p>
    <w:p>
      <w:pPr>
        <w:widowControl/>
        <w:numPr>
          <w:ilvl w:val="255"/>
          <w:numId w:val="0"/>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若因执行本合同所发生的争议、由双方通过友好协商解决。如果不能协商一致，任何一方有权将争议提交福州仲裁委员会仲裁。</w:t>
      </w:r>
    </w:p>
    <w:p>
      <w:pPr>
        <w:widowControl/>
        <w:numPr>
          <w:ilvl w:val="0"/>
          <w:numId w:val="5"/>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其它条款</w:t>
      </w:r>
    </w:p>
    <w:p>
      <w:pPr>
        <w:widowControl/>
        <w:numPr>
          <w:ilvl w:val="3"/>
          <w:numId w:val="12"/>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受不可抗力事件(系指严重火灾、台风、地震、洪水等不能预见事件)影响的合同一方对于不可抗力事件导致的任何合同义务的延迟履行或不能履行不承担责任，但应尽快以传真的方式将不可抗力事件结束消除情况通知另一方。</w:t>
      </w:r>
    </w:p>
    <w:p>
      <w:pPr>
        <w:widowControl/>
        <w:numPr>
          <w:ilvl w:val="3"/>
          <w:numId w:val="12"/>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合同有效期限到期后，合同项下任何尚未了结的债权和债务不受合同到期的影响，债务人仍应向债权人履行义务。</w:t>
      </w:r>
    </w:p>
    <w:p>
      <w:pPr>
        <w:widowControl/>
        <w:numPr>
          <w:ilvl w:val="3"/>
          <w:numId w:val="12"/>
        </w:numPr>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本合同一式</w:t>
      </w:r>
      <w:r>
        <w:rPr>
          <w:rFonts w:hint="eastAsia" w:ascii="仿宋" w:hAnsi="仿宋" w:eastAsia="仿宋" w:cs="仿宋"/>
          <w:kern w:val="0"/>
          <w:sz w:val="24"/>
        </w:rPr>
        <w:t>陆</w:t>
      </w:r>
      <w:r>
        <w:rPr>
          <w:rFonts w:hint="eastAsia" w:ascii="仿宋" w:hAnsi="仿宋" w:eastAsia="仿宋" w:cs="仿宋"/>
          <w:kern w:val="0"/>
          <w:sz w:val="24"/>
          <w:lang w:eastAsia="ja-JP"/>
        </w:rPr>
        <w:t>份，经双方签字盖章后即时生效。甲方执</w:t>
      </w:r>
      <w:r>
        <w:rPr>
          <w:rFonts w:hint="eastAsia" w:ascii="仿宋" w:hAnsi="仿宋" w:eastAsia="仿宋" w:cs="仿宋"/>
          <w:kern w:val="0"/>
          <w:sz w:val="24"/>
        </w:rPr>
        <w:t>叁</w:t>
      </w:r>
      <w:r>
        <w:rPr>
          <w:rFonts w:hint="eastAsia" w:ascii="仿宋" w:hAnsi="仿宋" w:eastAsia="仿宋" w:cs="仿宋"/>
          <w:kern w:val="0"/>
          <w:sz w:val="24"/>
          <w:lang w:eastAsia="ja-JP"/>
        </w:rPr>
        <w:t>份，乙方执叁份</w:t>
      </w:r>
      <w:r>
        <w:rPr>
          <w:rFonts w:hint="eastAsia" w:ascii="仿宋" w:hAnsi="仿宋" w:eastAsia="仿宋" w:cs="仿宋"/>
          <w:kern w:val="0"/>
          <w:sz w:val="24"/>
        </w:rPr>
        <w:t>，</w:t>
      </w:r>
      <w:r>
        <w:rPr>
          <w:rFonts w:hint="eastAsia" w:ascii="仿宋" w:hAnsi="仿宋" w:eastAsia="仿宋" w:cs="仿宋"/>
          <w:kern w:val="0"/>
          <w:sz w:val="24"/>
          <w:lang w:eastAsia="ja-JP"/>
        </w:rPr>
        <w:t>具有同等法律效力。</w:t>
      </w:r>
    </w:p>
    <w:p>
      <w:pPr>
        <w:widowControl/>
        <w:adjustRightInd w:val="0"/>
        <w:snapToGrid w:val="0"/>
        <w:spacing w:line="500" w:lineRule="exact"/>
        <w:ind w:firstLine="480" w:firstLineChars="200"/>
        <w:jc w:val="left"/>
        <w:rPr>
          <w:rFonts w:ascii="仿宋" w:hAnsi="仿宋" w:eastAsia="仿宋" w:cs="仿宋"/>
          <w:kern w:val="0"/>
          <w:sz w:val="24"/>
        </w:rPr>
      </w:pPr>
      <w:r>
        <w:rPr>
          <w:rFonts w:hint="eastAsia" w:ascii="仿宋" w:hAnsi="仿宋" w:eastAsia="仿宋" w:cs="仿宋"/>
          <w:kern w:val="0"/>
          <w:sz w:val="24"/>
        </w:rPr>
        <w:t>（以下无正文）</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甲方:福州市滨海水务发展有限公司</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法定代表人：</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单位税号：91350182MA32G4440Q</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单位电话：0591-87529791</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开户银行：中国邮政储蓄银行股份有限公司福州市长乐区支行</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帐号：935006010012250000</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日期：   年   月   日</w:t>
      </w:r>
    </w:p>
    <w:p>
      <w:pPr>
        <w:widowControl/>
        <w:adjustRightInd w:val="0"/>
        <w:snapToGrid w:val="0"/>
        <w:spacing w:line="500" w:lineRule="exact"/>
        <w:ind w:firstLine="480" w:firstLineChars="200"/>
        <w:jc w:val="left"/>
        <w:rPr>
          <w:rFonts w:ascii="仿宋" w:hAnsi="仿宋" w:eastAsia="仿宋" w:cs="仿宋"/>
          <w:kern w:val="0"/>
          <w:sz w:val="24"/>
          <w:lang w:eastAsia="ja-JP"/>
        </w:rPr>
      </w:pP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法定代表人：</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单位税号：</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注册地址：</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单位电话：</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开户银行：</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帐号：</w:t>
      </w:r>
    </w:p>
    <w:p>
      <w:pPr>
        <w:widowControl/>
        <w:adjustRightInd w:val="0"/>
        <w:snapToGrid w:val="0"/>
        <w:spacing w:line="50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日期：   年   月   日</w:t>
      </w:r>
    </w:p>
    <w:p>
      <w:pPr>
        <w:pStyle w:val="13"/>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4"/>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5pX5JcQBAABtAwAADgAAAAAAAAABACAAAAAeAQAAZHJzL2Uyb0RvYy54bWxQ&#10;SwUGAAAAAAYABgBZAQAAVAUAAAAA&#10;">
              <v:fill on="f" focussize="0,0"/>
              <v:stroke on="f"/>
              <v:imagedata o:title=""/>
              <o:lock v:ext="edit" aspectratio="f"/>
              <v:textbox inset="0mm,0mm,0mm,0mm" style="mso-fit-shape-to-text:t;">
                <w:txbxContent>
                  <w:p>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36283A"/>
    <w:multiLevelType w:val="multilevel"/>
    <w:tmpl w:val="A836283A"/>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B180B1F2"/>
    <w:multiLevelType w:val="singleLevel"/>
    <w:tmpl w:val="B180B1F2"/>
    <w:lvl w:ilvl="0" w:tentative="0">
      <w:start w:val="1"/>
      <w:numFmt w:val="decimal"/>
      <w:lvlText w:val="(%1)"/>
      <w:lvlJc w:val="left"/>
      <w:pPr>
        <w:ind w:left="425" w:hanging="425"/>
      </w:pPr>
      <w:rPr>
        <w:rFonts w:hint="default"/>
      </w:rPr>
    </w:lvl>
  </w:abstractNum>
  <w:abstractNum w:abstractNumId="2">
    <w:nsid w:val="C1099832"/>
    <w:multiLevelType w:val="multilevel"/>
    <w:tmpl w:val="C1099832"/>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3">
    <w:nsid w:val="DADFC8A7"/>
    <w:multiLevelType w:val="multilevel"/>
    <w:tmpl w:val="DADFC8A7"/>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4">
    <w:nsid w:val="FB33EFF3"/>
    <w:multiLevelType w:val="multilevel"/>
    <w:tmpl w:val="FB33EFF3"/>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5">
    <w:nsid w:val="148840D1"/>
    <w:multiLevelType w:val="multilevel"/>
    <w:tmpl w:val="148840D1"/>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6">
    <w:nsid w:val="1ECA6A48"/>
    <w:multiLevelType w:val="multilevel"/>
    <w:tmpl w:val="1ECA6A48"/>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7">
    <w:nsid w:val="237448FA"/>
    <w:multiLevelType w:val="multilevel"/>
    <w:tmpl w:val="237448FA"/>
    <w:lvl w:ilvl="0" w:tentative="0">
      <w:start w:val="1"/>
      <w:numFmt w:val="decimal"/>
      <w:pStyle w:val="4"/>
      <w:lvlText w:val="%1."/>
      <w:lvlJc w:val="left"/>
      <w:pPr>
        <w:ind w:left="0" w:firstLine="0"/>
      </w:pPr>
      <w:rPr>
        <w:rFonts w:hint="default"/>
      </w:rPr>
    </w:lvl>
    <w:lvl w:ilvl="1" w:tentative="0">
      <w:start w:val="1"/>
      <w:numFmt w:val="decimal"/>
      <w:pStyle w:val="5"/>
      <w:suff w:val="space"/>
      <w:lvlText w:val="%1.%2."/>
      <w:lvlJc w:val="left"/>
      <w:rPr>
        <w:rFonts w:hint="eastAsia" w:ascii="Times New Roman" w:hAnsi="Times New Roman" w:cs="Times New Roman"/>
        <w:b w:val="0"/>
        <w:bCs w:val="0"/>
        <w:i w:val="0"/>
        <w:iCs w:val="0"/>
        <w:caps w:val="0"/>
        <w:smallCaps w:val="0"/>
        <w:strike w:val="0"/>
        <w:dstrike w:val="0"/>
        <w:vanish w:val="0"/>
        <w:color w:val="000000"/>
        <w:spacing w:val="0"/>
        <w:position w:val="0"/>
        <w:sz w:val="28"/>
        <w:szCs w:val="28"/>
        <w:u w:val="none"/>
        <w:vertAlign w:val="baseline"/>
        <w14:shadow w14:blurRad="0" w14:dist="0" w14:dir="0" w14:sx="0" w14:sy="0" w14:kx="0" w14:ky="0" w14:algn="none">
          <w14:srgbClr w14:val="000000"/>
        </w14:shadow>
      </w:rPr>
    </w:lvl>
    <w:lvl w:ilvl="2" w:tentative="0">
      <w:start w:val="1"/>
      <w:numFmt w:val="decimal"/>
      <w:pStyle w:val="6"/>
      <w:lvlText w:val="%1.%2.%3."/>
      <w:lvlJc w:val="left"/>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8">
    <w:nsid w:val="25A1F957"/>
    <w:multiLevelType w:val="singleLevel"/>
    <w:tmpl w:val="25A1F957"/>
    <w:lvl w:ilvl="0" w:tentative="0">
      <w:start w:val="2"/>
      <w:numFmt w:val="decimal"/>
      <w:suff w:val="nothing"/>
      <w:lvlText w:val="%1、"/>
      <w:lvlJc w:val="left"/>
    </w:lvl>
  </w:abstractNum>
  <w:abstractNum w:abstractNumId="9">
    <w:nsid w:val="4EE2FCAD"/>
    <w:multiLevelType w:val="multilevel"/>
    <w:tmpl w:val="4EE2FCAD"/>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0">
    <w:nsid w:val="6ED0B6A4"/>
    <w:multiLevelType w:val="singleLevel"/>
    <w:tmpl w:val="6ED0B6A4"/>
    <w:lvl w:ilvl="0" w:tentative="0">
      <w:start w:val="5"/>
      <w:numFmt w:val="decimal"/>
      <w:suff w:val="nothing"/>
      <w:lvlText w:val="%1、"/>
      <w:lvlJc w:val="left"/>
    </w:lvl>
  </w:abstractNum>
  <w:abstractNum w:abstractNumId="11">
    <w:nsid w:val="76125571"/>
    <w:multiLevelType w:val="multilevel"/>
    <w:tmpl w:val="76125571"/>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num w:numId="1">
    <w:abstractNumId w:val="7"/>
  </w:num>
  <w:num w:numId="2">
    <w:abstractNumId w:val="10"/>
  </w:num>
  <w:num w:numId="3">
    <w:abstractNumId w:val="1"/>
  </w:num>
  <w:num w:numId="4">
    <w:abstractNumId w:val="8"/>
  </w:num>
  <w:num w:numId="5">
    <w:abstractNumId w:val="9"/>
  </w:num>
  <w:num w:numId="6">
    <w:abstractNumId w:val="5"/>
  </w:num>
  <w:num w:numId="7">
    <w:abstractNumId w:val="0"/>
  </w:num>
  <w:num w:numId="8">
    <w:abstractNumId w:val="11"/>
  </w:num>
  <w:num w:numId="9">
    <w:abstractNumId w:val="3"/>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NWQwNjliYTcxMWVjNTMxNjM0YTI3ZTk4ZjNiMzcifQ=="/>
  </w:docVars>
  <w:rsids>
    <w:rsidRoot w:val="009F0430"/>
    <w:rsid w:val="00001A68"/>
    <w:rsid w:val="000212F2"/>
    <w:rsid w:val="0004258A"/>
    <w:rsid w:val="00055294"/>
    <w:rsid w:val="00067916"/>
    <w:rsid w:val="00070454"/>
    <w:rsid w:val="0007352F"/>
    <w:rsid w:val="00074B47"/>
    <w:rsid w:val="000A346A"/>
    <w:rsid w:val="000D7F59"/>
    <w:rsid w:val="000F018C"/>
    <w:rsid w:val="000F44C3"/>
    <w:rsid w:val="00101AD2"/>
    <w:rsid w:val="0012007C"/>
    <w:rsid w:val="00143C42"/>
    <w:rsid w:val="00144742"/>
    <w:rsid w:val="001640B2"/>
    <w:rsid w:val="00184094"/>
    <w:rsid w:val="00193097"/>
    <w:rsid w:val="001C19DA"/>
    <w:rsid w:val="001C4EB5"/>
    <w:rsid w:val="001C69EA"/>
    <w:rsid w:val="001E73F2"/>
    <w:rsid w:val="001F3311"/>
    <w:rsid w:val="001F3618"/>
    <w:rsid w:val="00225CA9"/>
    <w:rsid w:val="00242203"/>
    <w:rsid w:val="00257B63"/>
    <w:rsid w:val="00275321"/>
    <w:rsid w:val="002C1E2A"/>
    <w:rsid w:val="002E43D7"/>
    <w:rsid w:val="002F1035"/>
    <w:rsid w:val="0035212F"/>
    <w:rsid w:val="00361875"/>
    <w:rsid w:val="00365F96"/>
    <w:rsid w:val="00395E6B"/>
    <w:rsid w:val="003A2324"/>
    <w:rsid w:val="003B6679"/>
    <w:rsid w:val="003C7562"/>
    <w:rsid w:val="003D2B2D"/>
    <w:rsid w:val="003F4A32"/>
    <w:rsid w:val="004275D5"/>
    <w:rsid w:val="00433C1C"/>
    <w:rsid w:val="0043723D"/>
    <w:rsid w:val="00462BE1"/>
    <w:rsid w:val="004B6266"/>
    <w:rsid w:val="004D5CC1"/>
    <w:rsid w:val="004E6FF5"/>
    <w:rsid w:val="004F449D"/>
    <w:rsid w:val="004F52A2"/>
    <w:rsid w:val="00501348"/>
    <w:rsid w:val="005131E1"/>
    <w:rsid w:val="005258BD"/>
    <w:rsid w:val="00527F3B"/>
    <w:rsid w:val="00551CC7"/>
    <w:rsid w:val="00552344"/>
    <w:rsid w:val="0058542C"/>
    <w:rsid w:val="00592F42"/>
    <w:rsid w:val="005B133A"/>
    <w:rsid w:val="005D0CF1"/>
    <w:rsid w:val="005D5471"/>
    <w:rsid w:val="005E7A64"/>
    <w:rsid w:val="005F2B0E"/>
    <w:rsid w:val="005F3AA8"/>
    <w:rsid w:val="00600FC0"/>
    <w:rsid w:val="00687A3C"/>
    <w:rsid w:val="006963F2"/>
    <w:rsid w:val="006A381D"/>
    <w:rsid w:val="006B7385"/>
    <w:rsid w:val="006C2AEA"/>
    <w:rsid w:val="006D4FD4"/>
    <w:rsid w:val="006E1DE6"/>
    <w:rsid w:val="006F6056"/>
    <w:rsid w:val="007030A1"/>
    <w:rsid w:val="007229DE"/>
    <w:rsid w:val="007372C7"/>
    <w:rsid w:val="007414A0"/>
    <w:rsid w:val="0075035E"/>
    <w:rsid w:val="007821E2"/>
    <w:rsid w:val="00792429"/>
    <w:rsid w:val="007A62F4"/>
    <w:rsid w:val="007A653D"/>
    <w:rsid w:val="007A7026"/>
    <w:rsid w:val="007B5EAC"/>
    <w:rsid w:val="007C2795"/>
    <w:rsid w:val="00814106"/>
    <w:rsid w:val="00831A5A"/>
    <w:rsid w:val="0085614A"/>
    <w:rsid w:val="00860CE9"/>
    <w:rsid w:val="0086185B"/>
    <w:rsid w:val="0086555A"/>
    <w:rsid w:val="00867DB1"/>
    <w:rsid w:val="008B6D9E"/>
    <w:rsid w:val="009010BD"/>
    <w:rsid w:val="00901D5C"/>
    <w:rsid w:val="00985B06"/>
    <w:rsid w:val="00994EAD"/>
    <w:rsid w:val="009B0344"/>
    <w:rsid w:val="009D34A7"/>
    <w:rsid w:val="009F0430"/>
    <w:rsid w:val="009F3F75"/>
    <w:rsid w:val="00A05C6F"/>
    <w:rsid w:val="00A34917"/>
    <w:rsid w:val="00A43251"/>
    <w:rsid w:val="00A43D84"/>
    <w:rsid w:val="00A47A5F"/>
    <w:rsid w:val="00A50F50"/>
    <w:rsid w:val="00A60036"/>
    <w:rsid w:val="00A741ED"/>
    <w:rsid w:val="00A9302E"/>
    <w:rsid w:val="00AA05D0"/>
    <w:rsid w:val="00AC39EA"/>
    <w:rsid w:val="00AF67B8"/>
    <w:rsid w:val="00B02579"/>
    <w:rsid w:val="00B32C9E"/>
    <w:rsid w:val="00B377E0"/>
    <w:rsid w:val="00B40428"/>
    <w:rsid w:val="00B505F4"/>
    <w:rsid w:val="00B6442A"/>
    <w:rsid w:val="00B6711C"/>
    <w:rsid w:val="00B84AC3"/>
    <w:rsid w:val="00BA6ED2"/>
    <w:rsid w:val="00BA7C69"/>
    <w:rsid w:val="00BE45B1"/>
    <w:rsid w:val="00BF02FF"/>
    <w:rsid w:val="00C03C73"/>
    <w:rsid w:val="00C15730"/>
    <w:rsid w:val="00C35F62"/>
    <w:rsid w:val="00C368FE"/>
    <w:rsid w:val="00C66451"/>
    <w:rsid w:val="00C9118A"/>
    <w:rsid w:val="00C92695"/>
    <w:rsid w:val="00C954B4"/>
    <w:rsid w:val="00CA27A4"/>
    <w:rsid w:val="00CD66B7"/>
    <w:rsid w:val="00D05148"/>
    <w:rsid w:val="00D11D0F"/>
    <w:rsid w:val="00D35262"/>
    <w:rsid w:val="00D36C3B"/>
    <w:rsid w:val="00D42F9A"/>
    <w:rsid w:val="00D46FF3"/>
    <w:rsid w:val="00D55351"/>
    <w:rsid w:val="00D62AD1"/>
    <w:rsid w:val="00D665B4"/>
    <w:rsid w:val="00D81ED7"/>
    <w:rsid w:val="00D86B89"/>
    <w:rsid w:val="00DB4E47"/>
    <w:rsid w:val="00DC5CAD"/>
    <w:rsid w:val="00DE4790"/>
    <w:rsid w:val="00E16E75"/>
    <w:rsid w:val="00E266A5"/>
    <w:rsid w:val="00E45750"/>
    <w:rsid w:val="00E4694A"/>
    <w:rsid w:val="00E54784"/>
    <w:rsid w:val="00E658B9"/>
    <w:rsid w:val="00E82E67"/>
    <w:rsid w:val="00EF1C58"/>
    <w:rsid w:val="00F002C0"/>
    <w:rsid w:val="00F21F20"/>
    <w:rsid w:val="00F50B55"/>
    <w:rsid w:val="00F67479"/>
    <w:rsid w:val="00F70843"/>
    <w:rsid w:val="00F81386"/>
    <w:rsid w:val="00FB52AF"/>
    <w:rsid w:val="00FC035D"/>
    <w:rsid w:val="00FC28AE"/>
    <w:rsid w:val="028033DD"/>
    <w:rsid w:val="02831C4F"/>
    <w:rsid w:val="02AA3857"/>
    <w:rsid w:val="047B084D"/>
    <w:rsid w:val="04F26A8D"/>
    <w:rsid w:val="05B20D40"/>
    <w:rsid w:val="05B92F67"/>
    <w:rsid w:val="06836A98"/>
    <w:rsid w:val="06EF7A57"/>
    <w:rsid w:val="07BC4B8E"/>
    <w:rsid w:val="095313EC"/>
    <w:rsid w:val="0A196286"/>
    <w:rsid w:val="0B0973CC"/>
    <w:rsid w:val="0B3E07B5"/>
    <w:rsid w:val="0B6C225B"/>
    <w:rsid w:val="0B6F5563"/>
    <w:rsid w:val="0BB804FD"/>
    <w:rsid w:val="0CC453E2"/>
    <w:rsid w:val="0E4638B8"/>
    <w:rsid w:val="0FA97E88"/>
    <w:rsid w:val="0FE83B0C"/>
    <w:rsid w:val="10F62635"/>
    <w:rsid w:val="112A22DF"/>
    <w:rsid w:val="11BE3DFB"/>
    <w:rsid w:val="125A14BC"/>
    <w:rsid w:val="13110F0C"/>
    <w:rsid w:val="13744342"/>
    <w:rsid w:val="13FA2641"/>
    <w:rsid w:val="142B6F4B"/>
    <w:rsid w:val="146F51F4"/>
    <w:rsid w:val="16357658"/>
    <w:rsid w:val="16996F47"/>
    <w:rsid w:val="185A73B8"/>
    <w:rsid w:val="19C823C3"/>
    <w:rsid w:val="1B120284"/>
    <w:rsid w:val="1D42117A"/>
    <w:rsid w:val="1D9C77F2"/>
    <w:rsid w:val="1DC419F5"/>
    <w:rsid w:val="20D70025"/>
    <w:rsid w:val="21C63EB0"/>
    <w:rsid w:val="2206787C"/>
    <w:rsid w:val="22FB235D"/>
    <w:rsid w:val="239F2EE7"/>
    <w:rsid w:val="245908E0"/>
    <w:rsid w:val="2530219E"/>
    <w:rsid w:val="26150399"/>
    <w:rsid w:val="26504B41"/>
    <w:rsid w:val="265239FF"/>
    <w:rsid w:val="298D69BF"/>
    <w:rsid w:val="2A252A7A"/>
    <w:rsid w:val="2A2C3067"/>
    <w:rsid w:val="2AA414D5"/>
    <w:rsid w:val="2AD07F5B"/>
    <w:rsid w:val="2B813726"/>
    <w:rsid w:val="2C2B3539"/>
    <w:rsid w:val="2C476CA4"/>
    <w:rsid w:val="2C9A76BC"/>
    <w:rsid w:val="2CD75CC3"/>
    <w:rsid w:val="2E8E2039"/>
    <w:rsid w:val="3049604F"/>
    <w:rsid w:val="305934BB"/>
    <w:rsid w:val="30771291"/>
    <w:rsid w:val="31B402DB"/>
    <w:rsid w:val="328D779C"/>
    <w:rsid w:val="361467CD"/>
    <w:rsid w:val="36BE6A66"/>
    <w:rsid w:val="36FA1570"/>
    <w:rsid w:val="3822188F"/>
    <w:rsid w:val="399D5252"/>
    <w:rsid w:val="3AB24375"/>
    <w:rsid w:val="3B0449E9"/>
    <w:rsid w:val="3B420685"/>
    <w:rsid w:val="3BA90D51"/>
    <w:rsid w:val="3BAE21CC"/>
    <w:rsid w:val="3E2A4B9A"/>
    <w:rsid w:val="3E822C12"/>
    <w:rsid w:val="3EBC36EA"/>
    <w:rsid w:val="3EC91A55"/>
    <w:rsid w:val="3F2D5101"/>
    <w:rsid w:val="3FCA73F2"/>
    <w:rsid w:val="40FB4687"/>
    <w:rsid w:val="414D3566"/>
    <w:rsid w:val="41B7144E"/>
    <w:rsid w:val="42760B78"/>
    <w:rsid w:val="43A610EB"/>
    <w:rsid w:val="43D56101"/>
    <w:rsid w:val="44D37FBC"/>
    <w:rsid w:val="4540008C"/>
    <w:rsid w:val="457E0B0D"/>
    <w:rsid w:val="45C760A6"/>
    <w:rsid w:val="478257BF"/>
    <w:rsid w:val="478F072A"/>
    <w:rsid w:val="48C9090C"/>
    <w:rsid w:val="4AD7783A"/>
    <w:rsid w:val="4AF279C8"/>
    <w:rsid w:val="4B8177E5"/>
    <w:rsid w:val="4C902BE9"/>
    <w:rsid w:val="4D1A7F48"/>
    <w:rsid w:val="4D203FBB"/>
    <w:rsid w:val="4D686EAB"/>
    <w:rsid w:val="4D7E4E08"/>
    <w:rsid w:val="4D9A28BB"/>
    <w:rsid w:val="4E1E65ED"/>
    <w:rsid w:val="4FA6489B"/>
    <w:rsid w:val="4FD47450"/>
    <w:rsid w:val="51A378CF"/>
    <w:rsid w:val="51F71EA3"/>
    <w:rsid w:val="527530E7"/>
    <w:rsid w:val="55D171D7"/>
    <w:rsid w:val="564C6BAF"/>
    <w:rsid w:val="572B7FAF"/>
    <w:rsid w:val="574F3694"/>
    <w:rsid w:val="577543A9"/>
    <w:rsid w:val="581D62FA"/>
    <w:rsid w:val="5907397C"/>
    <w:rsid w:val="5A087AC2"/>
    <w:rsid w:val="5A7D0D70"/>
    <w:rsid w:val="5B714528"/>
    <w:rsid w:val="5B820BE7"/>
    <w:rsid w:val="5B895418"/>
    <w:rsid w:val="5CA86C4F"/>
    <w:rsid w:val="5D4A3D7C"/>
    <w:rsid w:val="5D593C15"/>
    <w:rsid w:val="5D644D2D"/>
    <w:rsid w:val="5DD12B9C"/>
    <w:rsid w:val="5E92531F"/>
    <w:rsid w:val="5E9C00ED"/>
    <w:rsid w:val="5EA87BB5"/>
    <w:rsid w:val="5FC74D74"/>
    <w:rsid w:val="5FEB1070"/>
    <w:rsid w:val="603D72D6"/>
    <w:rsid w:val="60AD6134"/>
    <w:rsid w:val="61A34C11"/>
    <w:rsid w:val="64405A5B"/>
    <w:rsid w:val="658007FD"/>
    <w:rsid w:val="65C2569B"/>
    <w:rsid w:val="67444AD8"/>
    <w:rsid w:val="68391003"/>
    <w:rsid w:val="688C33BC"/>
    <w:rsid w:val="695C073C"/>
    <w:rsid w:val="699C64D9"/>
    <w:rsid w:val="6CB610AF"/>
    <w:rsid w:val="6CD6565D"/>
    <w:rsid w:val="6CDF48FC"/>
    <w:rsid w:val="6CEC500A"/>
    <w:rsid w:val="6EC15DE4"/>
    <w:rsid w:val="6EF83DD8"/>
    <w:rsid w:val="6EFA607D"/>
    <w:rsid w:val="6F56267C"/>
    <w:rsid w:val="6FF858D3"/>
    <w:rsid w:val="7044184B"/>
    <w:rsid w:val="70464F12"/>
    <w:rsid w:val="70DD40D0"/>
    <w:rsid w:val="712D31CF"/>
    <w:rsid w:val="718D2201"/>
    <w:rsid w:val="71B46363"/>
    <w:rsid w:val="71E157B0"/>
    <w:rsid w:val="72693796"/>
    <w:rsid w:val="73B70AA5"/>
    <w:rsid w:val="74412D23"/>
    <w:rsid w:val="74D22ECD"/>
    <w:rsid w:val="758672B5"/>
    <w:rsid w:val="76BD4052"/>
    <w:rsid w:val="76D27DBD"/>
    <w:rsid w:val="784268D7"/>
    <w:rsid w:val="78EC1F30"/>
    <w:rsid w:val="78FC0AD4"/>
    <w:rsid w:val="7BB21A08"/>
    <w:rsid w:val="7C305674"/>
    <w:rsid w:val="7C3D12BE"/>
    <w:rsid w:val="7C584F4F"/>
    <w:rsid w:val="7C6A6979"/>
    <w:rsid w:val="7C9E11E7"/>
    <w:rsid w:val="7D341A05"/>
    <w:rsid w:val="7D52006B"/>
    <w:rsid w:val="7D5E5240"/>
    <w:rsid w:val="7D8A413A"/>
    <w:rsid w:val="7ECF14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9"/>
    <w:pPr>
      <w:keepNext/>
      <w:keepLines/>
      <w:numPr>
        <w:ilvl w:val="0"/>
        <w:numId w:val="1"/>
      </w:numPr>
      <w:spacing w:before="120" w:after="120"/>
      <w:outlineLvl w:val="0"/>
    </w:pPr>
    <w:rPr>
      <w:b/>
      <w:bCs/>
      <w:kern w:val="44"/>
      <w:sz w:val="32"/>
      <w:szCs w:val="44"/>
    </w:rPr>
  </w:style>
  <w:style w:type="paragraph" w:styleId="5">
    <w:name w:val="heading 2"/>
    <w:basedOn w:val="1"/>
    <w:next w:val="1"/>
    <w:unhideWhenUsed/>
    <w:qFormat/>
    <w:uiPriority w:val="9"/>
    <w:pPr>
      <w:keepNext/>
      <w:keepLines/>
      <w:numPr>
        <w:ilvl w:val="1"/>
        <w:numId w:val="1"/>
      </w:numPr>
      <w:spacing w:beforeLines="50"/>
      <w:outlineLvl w:val="1"/>
    </w:pPr>
    <w:rPr>
      <w:b/>
      <w:bCs/>
      <w:sz w:val="28"/>
      <w:szCs w:val="32"/>
    </w:rPr>
  </w:style>
  <w:style w:type="paragraph" w:styleId="6">
    <w:name w:val="heading 3"/>
    <w:basedOn w:val="1"/>
    <w:next w:val="1"/>
    <w:unhideWhenUsed/>
    <w:qFormat/>
    <w:uiPriority w:val="9"/>
    <w:pPr>
      <w:keepNext/>
      <w:keepLines/>
      <w:numPr>
        <w:ilvl w:val="2"/>
        <w:numId w:val="1"/>
      </w:numPr>
      <w:spacing w:before="120" w:after="260"/>
      <w:outlineLvl w:val="2"/>
    </w:pPr>
    <w:rPr>
      <w:b/>
      <w:bCs/>
      <w:sz w:val="28"/>
      <w:szCs w:val="32"/>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Verdana" w:hAnsi="Verdana"/>
    </w:rPr>
  </w:style>
  <w:style w:type="paragraph" w:customStyle="1" w:styleId="3">
    <w:name w:val="Default"/>
    <w:next w:val="1"/>
    <w:qFormat/>
    <w:uiPriority w:val="99"/>
    <w:pPr>
      <w:widowControl w:val="0"/>
      <w:spacing w:line="360" w:lineRule="atLeast"/>
      <w:jc w:val="both"/>
    </w:pPr>
    <w:rPr>
      <w:rFonts w:ascii="宋体" w:hAnsi="宋体" w:eastAsia="宋体" w:cs="宋体"/>
      <w:color w:val="000000"/>
      <w:sz w:val="24"/>
      <w:szCs w:val="24"/>
      <w:lang w:val="en-US" w:eastAsia="zh-CN" w:bidi="ar-SA"/>
    </w:rPr>
  </w:style>
  <w:style w:type="paragraph" w:styleId="7">
    <w:name w:val="annotation text"/>
    <w:basedOn w:val="1"/>
    <w:link w:val="57"/>
    <w:semiHidden/>
    <w:unhideWhenUsed/>
    <w:qFormat/>
    <w:uiPriority w:val="99"/>
    <w:pPr>
      <w:jc w:val="left"/>
    </w:pPr>
  </w:style>
  <w:style w:type="paragraph" w:styleId="8">
    <w:name w:val="Body Text Indent"/>
    <w:basedOn w:val="1"/>
    <w:next w:val="9"/>
    <w:unhideWhenUsed/>
    <w:qFormat/>
    <w:uiPriority w:val="99"/>
    <w:pPr>
      <w:spacing w:after="120"/>
      <w:ind w:left="420" w:leftChars="200"/>
    </w:pPr>
  </w:style>
  <w:style w:type="paragraph" w:styleId="9">
    <w:name w:val="Body Text First Indent 2"/>
    <w:basedOn w:val="8"/>
    <w:unhideWhenUsed/>
    <w:qFormat/>
    <w:uiPriority w:val="99"/>
    <w:pPr>
      <w:ind w:firstLine="420"/>
    </w:pPr>
  </w:style>
  <w:style w:type="paragraph" w:styleId="10">
    <w:name w:val="toc 3"/>
    <w:basedOn w:val="1"/>
    <w:next w:val="1"/>
    <w:unhideWhenUsed/>
    <w:qFormat/>
    <w:uiPriority w:val="39"/>
    <w:pPr>
      <w:widowControl/>
      <w:spacing w:after="100" w:line="259" w:lineRule="auto"/>
      <w:ind w:left="440"/>
      <w:jc w:val="left"/>
    </w:pPr>
    <w:rPr>
      <w:rFonts w:ascii="等线" w:hAnsi="等线"/>
      <w:kern w:val="0"/>
      <w:sz w:val="22"/>
    </w:rPr>
  </w:style>
  <w:style w:type="paragraph" w:styleId="11">
    <w:name w:val="Date"/>
    <w:basedOn w:val="1"/>
    <w:next w:val="1"/>
    <w:link w:val="34"/>
    <w:unhideWhenUsed/>
    <w:qFormat/>
    <w:uiPriority w:val="99"/>
    <w:pPr>
      <w:ind w:left="100" w:leftChars="2500"/>
    </w:pPr>
  </w:style>
  <w:style w:type="paragraph" w:styleId="12">
    <w:name w:val="Body Text Indent 2"/>
    <w:basedOn w:val="1"/>
    <w:qFormat/>
    <w:uiPriority w:val="99"/>
    <w:pPr>
      <w:spacing w:line="360" w:lineRule="auto"/>
      <w:ind w:firstLine="480" w:firstLineChars="200"/>
      <w:jc w:val="left"/>
    </w:pPr>
    <w:rPr>
      <w:rFonts w:hAnsi="宋体"/>
      <w:sz w:val="24"/>
      <w:szCs w:val="21"/>
    </w:rPr>
  </w:style>
  <w:style w:type="paragraph" w:styleId="13">
    <w:name w:val="Balloon Text"/>
    <w:basedOn w:val="1"/>
    <w:qFormat/>
    <w:uiPriority w:val="0"/>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rPr>
      <w:rFonts w:ascii="Arial" w:hAnsi="Arial"/>
    </w:rPr>
  </w:style>
  <w:style w:type="paragraph" w:styleId="16">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b/>
    </w:rPr>
  </w:style>
  <w:style w:type="paragraph" w:styleId="18">
    <w:name w:val="toc 2"/>
    <w:basedOn w:val="1"/>
    <w:next w:val="1"/>
    <w:unhideWhenUsed/>
    <w:qFormat/>
    <w:uiPriority w:val="39"/>
    <w:pPr>
      <w:widowControl/>
      <w:spacing w:after="100" w:line="259" w:lineRule="auto"/>
      <w:ind w:left="220"/>
      <w:jc w:val="left"/>
    </w:pPr>
    <w:rPr>
      <w:rFonts w:ascii="等线" w:hAnsi="等线"/>
      <w:kern w:val="0"/>
      <w:sz w:val="22"/>
    </w:rPr>
  </w:style>
  <w:style w:type="paragraph" w:styleId="19">
    <w:name w:val="Normal (Web)"/>
    <w:basedOn w:val="1"/>
    <w:next w:val="1"/>
    <w:semiHidden/>
    <w:unhideWhenUsed/>
    <w:qFormat/>
    <w:uiPriority w:val="0"/>
    <w:rPr>
      <w:sz w:val="24"/>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annotation subject"/>
    <w:basedOn w:val="7"/>
    <w:next w:val="7"/>
    <w:link w:val="58"/>
    <w:semiHidden/>
    <w:unhideWhenUsed/>
    <w:qFormat/>
    <w:uiPriority w:val="99"/>
    <w:rPr>
      <w:b/>
      <w:bCs/>
    </w:rPr>
  </w:style>
  <w:style w:type="character" w:styleId="24">
    <w:name w:val="Strong"/>
    <w:basedOn w:val="23"/>
    <w:qFormat/>
    <w:uiPriority w:val="99"/>
    <w:rPr>
      <w:rFonts w:cs="Times New Roman"/>
      <w:b/>
    </w:rPr>
  </w:style>
  <w:style w:type="character" w:styleId="25">
    <w:name w:val="FollowedHyperlink"/>
    <w:basedOn w:val="23"/>
    <w:unhideWhenUsed/>
    <w:qFormat/>
    <w:uiPriority w:val="99"/>
    <w:rPr>
      <w:rFonts w:hint="default" w:ascii="Arial" w:hAnsi="Arial" w:eastAsia="Arial" w:cs="Arial"/>
      <w:color w:val="333333"/>
      <w:sz w:val="21"/>
      <w:szCs w:val="21"/>
      <w:u w:val="none"/>
    </w:rPr>
  </w:style>
  <w:style w:type="character" w:styleId="26">
    <w:name w:val="Emphasis"/>
    <w:basedOn w:val="23"/>
    <w:qFormat/>
    <w:uiPriority w:val="20"/>
    <w:rPr>
      <w:i/>
      <w:iCs/>
    </w:rPr>
  </w:style>
  <w:style w:type="character" w:styleId="27">
    <w:name w:val="Hyperlink"/>
    <w:basedOn w:val="23"/>
    <w:unhideWhenUsed/>
    <w:qFormat/>
    <w:uiPriority w:val="99"/>
    <w:rPr>
      <w:rFonts w:ascii="Arial" w:hAnsi="Arial" w:eastAsia="Arial" w:cs="Arial"/>
      <w:color w:val="333333"/>
      <w:sz w:val="21"/>
      <w:szCs w:val="21"/>
      <w:u w:val="none"/>
    </w:rPr>
  </w:style>
  <w:style w:type="character" w:styleId="28">
    <w:name w:val="annotation reference"/>
    <w:basedOn w:val="23"/>
    <w:unhideWhenUsed/>
    <w:qFormat/>
    <w:uiPriority w:val="99"/>
    <w:rPr>
      <w:sz w:val="21"/>
      <w:szCs w:val="21"/>
    </w:rPr>
  </w:style>
  <w:style w:type="paragraph" w:customStyle="1" w:styleId="29">
    <w:name w:val="标准正文"/>
    <w:basedOn w:val="8"/>
    <w:qFormat/>
    <w:uiPriority w:val="0"/>
    <w:pPr>
      <w:adjustRightInd w:val="0"/>
      <w:snapToGrid w:val="0"/>
      <w:spacing w:line="360" w:lineRule="auto"/>
      <w:ind w:firstLine="560" w:firstLineChars="200"/>
    </w:pPr>
    <w:rPr>
      <w:sz w:val="24"/>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Fließtext"/>
    <w:basedOn w:val="1"/>
    <w:qFormat/>
    <w:uiPriority w:val="0"/>
    <w:pPr>
      <w:overflowPunct w:val="0"/>
      <w:autoSpaceDE w:val="0"/>
      <w:autoSpaceDN w:val="0"/>
      <w:adjustRightInd w:val="0"/>
    </w:pPr>
    <w:rPr>
      <w:kern w:val="28"/>
    </w:rPr>
  </w:style>
  <w:style w:type="character" w:customStyle="1" w:styleId="32">
    <w:name w:val="页脚 字符"/>
    <w:basedOn w:val="23"/>
    <w:link w:val="14"/>
    <w:semiHidden/>
    <w:qFormat/>
    <w:uiPriority w:val="99"/>
    <w:rPr>
      <w:rFonts w:ascii="Times New Roman" w:hAnsi="Times New Roman" w:eastAsia="宋体" w:cs="Times New Roman"/>
      <w:sz w:val="18"/>
      <w:szCs w:val="18"/>
    </w:rPr>
  </w:style>
  <w:style w:type="character" w:customStyle="1" w:styleId="33">
    <w:name w:val="hover53"/>
    <w:basedOn w:val="23"/>
    <w:qFormat/>
    <w:uiPriority w:val="0"/>
    <w:rPr>
      <w:color w:val="4285F4"/>
      <w:u w:val="none"/>
    </w:rPr>
  </w:style>
  <w:style w:type="character" w:customStyle="1" w:styleId="34">
    <w:name w:val="日期 字符"/>
    <w:basedOn w:val="23"/>
    <w:link w:val="11"/>
    <w:semiHidden/>
    <w:qFormat/>
    <w:uiPriority w:val="99"/>
    <w:rPr>
      <w:rFonts w:ascii="Times New Roman" w:hAnsi="Times New Roman"/>
      <w:kern w:val="2"/>
      <w:sz w:val="21"/>
      <w:szCs w:val="24"/>
    </w:rPr>
  </w:style>
  <w:style w:type="character" w:customStyle="1" w:styleId="35">
    <w:name w:val="hover56"/>
    <w:basedOn w:val="23"/>
    <w:qFormat/>
    <w:uiPriority w:val="0"/>
  </w:style>
  <w:style w:type="character" w:customStyle="1" w:styleId="36">
    <w:name w:val="active4"/>
    <w:basedOn w:val="23"/>
    <w:qFormat/>
    <w:uiPriority w:val="0"/>
    <w:rPr>
      <w:color w:val="4285F4"/>
      <w:bdr w:val="single" w:color="4285F4" w:sz="6" w:space="0"/>
    </w:rPr>
  </w:style>
  <w:style w:type="character" w:customStyle="1" w:styleId="37">
    <w:name w:val="before"/>
    <w:basedOn w:val="23"/>
    <w:qFormat/>
    <w:uiPriority w:val="0"/>
    <w:rPr>
      <w:bdr w:val="single" w:color="auto" w:sz="48" w:space="0"/>
    </w:rPr>
  </w:style>
  <w:style w:type="character" w:customStyle="1" w:styleId="38">
    <w:name w:val="页眉 字符"/>
    <w:basedOn w:val="23"/>
    <w:link w:val="16"/>
    <w:semiHidden/>
    <w:qFormat/>
    <w:uiPriority w:val="99"/>
    <w:rPr>
      <w:rFonts w:ascii="Times New Roman" w:hAnsi="Times New Roman" w:eastAsia="宋体" w:cs="Times New Roman"/>
      <w:sz w:val="18"/>
      <w:szCs w:val="18"/>
    </w:rPr>
  </w:style>
  <w:style w:type="character" w:customStyle="1" w:styleId="39">
    <w:name w:val="first-child"/>
    <w:basedOn w:val="23"/>
    <w:qFormat/>
    <w:uiPriority w:val="0"/>
  </w:style>
  <w:style w:type="character" w:customStyle="1" w:styleId="40">
    <w:name w:val="last-child1"/>
    <w:basedOn w:val="23"/>
    <w:qFormat/>
    <w:uiPriority w:val="0"/>
  </w:style>
  <w:style w:type="character" w:customStyle="1" w:styleId="41">
    <w:name w:val="hover52"/>
    <w:basedOn w:val="23"/>
    <w:qFormat/>
    <w:uiPriority w:val="0"/>
    <w:rPr>
      <w:color w:val="4285F4"/>
    </w:rPr>
  </w:style>
  <w:style w:type="character" w:customStyle="1" w:styleId="42">
    <w:name w:val="font01"/>
    <w:basedOn w:val="23"/>
    <w:qFormat/>
    <w:uiPriority w:val="0"/>
    <w:rPr>
      <w:rFonts w:ascii="Calibri" w:hAnsi="Calibri" w:cs="Calibri"/>
      <w:color w:val="000000"/>
      <w:sz w:val="22"/>
      <w:szCs w:val="22"/>
      <w:u w:val="none"/>
    </w:rPr>
  </w:style>
  <w:style w:type="character" w:customStyle="1" w:styleId="43">
    <w:name w:val="hover51"/>
    <w:basedOn w:val="23"/>
    <w:qFormat/>
    <w:uiPriority w:val="0"/>
    <w:rPr>
      <w:shd w:val="clear" w:color="auto" w:fill="346AC3"/>
    </w:rPr>
  </w:style>
  <w:style w:type="character" w:customStyle="1" w:styleId="44">
    <w:name w:val="after"/>
    <w:basedOn w:val="23"/>
    <w:qFormat/>
    <w:uiPriority w:val="0"/>
    <w:rPr>
      <w:bdr w:val="dashed" w:color="auto" w:sz="48" w:space="0"/>
    </w:rPr>
  </w:style>
  <w:style w:type="character" w:customStyle="1" w:styleId="45">
    <w:name w:val="hover54"/>
    <w:basedOn w:val="23"/>
    <w:qFormat/>
    <w:uiPriority w:val="0"/>
    <w:rPr>
      <w:color w:val="4285F4"/>
    </w:rPr>
  </w:style>
  <w:style w:type="character" w:customStyle="1" w:styleId="46">
    <w:name w:val="hover55"/>
    <w:basedOn w:val="23"/>
    <w:qFormat/>
    <w:uiPriority w:val="0"/>
    <w:rPr>
      <w:color w:val="1A85D7"/>
    </w:rPr>
  </w:style>
  <w:style w:type="character" w:customStyle="1" w:styleId="47">
    <w:name w:val="font21"/>
    <w:basedOn w:val="23"/>
    <w:qFormat/>
    <w:uiPriority w:val="0"/>
    <w:rPr>
      <w:rFonts w:hint="eastAsia" w:ascii="宋体" w:hAnsi="宋体" w:eastAsia="宋体" w:cs="宋体"/>
      <w:color w:val="000000"/>
      <w:sz w:val="28"/>
      <w:szCs w:val="28"/>
      <w:u w:val="none"/>
    </w:rPr>
  </w:style>
  <w:style w:type="character" w:customStyle="1" w:styleId="48">
    <w:name w:val="active"/>
    <w:basedOn w:val="23"/>
    <w:qFormat/>
    <w:uiPriority w:val="0"/>
    <w:rPr>
      <w:color w:val="4285F4"/>
      <w:bdr w:val="single" w:color="4285F4" w:sz="6" w:space="0"/>
    </w:rPr>
  </w:style>
  <w:style w:type="character" w:customStyle="1" w:styleId="49">
    <w:name w:val="font11"/>
    <w:basedOn w:val="23"/>
    <w:qFormat/>
    <w:uiPriority w:val="0"/>
    <w:rPr>
      <w:rFonts w:hint="eastAsia" w:ascii="宋体" w:hAnsi="宋体" w:eastAsia="宋体" w:cs="宋体"/>
      <w:color w:val="000000"/>
      <w:sz w:val="22"/>
      <w:szCs w:val="22"/>
      <w:u w:val="none"/>
    </w:rPr>
  </w:style>
  <w:style w:type="character" w:customStyle="1" w:styleId="50">
    <w:name w:val="credit"/>
    <w:basedOn w:val="23"/>
    <w:qFormat/>
    <w:uiPriority w:val="0"/>
    <w:rPr>
      <w:sz w:val="18"/>
      <w:szCs w:val="18"/>
    </w:rPr>
  </w:style>
  <w:style w:type="character" w:customStyle="1" w:styleId="51">
    <w:name w:val="hover41"/>
    <w:basedOn w:val="23"/>
    <w:qFormat/>
    <w:uiPriority w:val="0"/>
    <w:rPr>
      <w:shd w:val="clear" w:color="auto" w:fill="346AC3"/>
    </w:rPr>
  </w:style>
  <w:style w:type="character" w:customStyle="1" w:styleId="52">
    <w:name w:val="hover42"/>
    <w:basedOn w:val="23"/>
    <w:qFormat/>
    <w:uiPriority w:val="0"/>
    <w:rPr>
      <w:color w:val="4285F4"/>
    </w:rPr>
  </w:style>
  <w:style w:type="character" w:customStyle="1" w:styleId="53">
    <w:name w:val="hover43"/>
    <w:basedOn w:val="23"/>
    <w:qFormat/>
    <w:uiPriority w:val="0"/>
    <w:rPr>
      <w:color w:val="4285F4"/>
    </w:rPr>
  </w:style>
  <w:style w:type="character" w:customStyle="1" w:styleId="54">
    <w:name w:val="hover44"/>
    <w:basedOn w:val="23"/>
    <w:qFormat/>
    <w:uiPriority w:val="0"/>
    <w:rPr>
      <w:color w:val="4285F4"/>
      <w:u w:val="none"/>
    </w:rPr>
  </w:style>
  <w:style w:type="character" w:customStyle="1" w:styleId="55">
    <w:name w:val="hover45"/>
    <w:basedOn w:val="23"/>
    <w:qFormat/>
    <w:uiPriority w:val="0"/>
    <w:rPr>
      <w:color w:val="1A85D7"/>
    </w:rPr>
  </w:style>
  <w:style w:type="character" w:customStyle="1" w:styleId="56">
    <w:name w:val="hover46"/>
    <w:basedOn w:val="23"/>
    <w:qFormat/>
    <w:uiPriority w:val="0"/>
  </w:style>
  <w:style w:type="character" w:customStyle="1" w:styleId="57">
    <w:name w:val="批注文字 字符"/>
    <w:basedOn w:val="23"/>
    <w:link w:val="7"/>
    <w:semiHidden/>
    <w:qFormat/>
    <w:uiPriority w:val="99"/>
    <w:rPr>
      <w:kern w:val="2"/>
      <w:sz w:val="21"/>
      <w:szCs w:val="24"/>
    </w:rPr>
  </w:style>
  <w:style w:type="character" w:customStyle="1" w:styleId="58">
    <w:name w:val="批注主题 字符"/>
    <w:basedOn w:val="57"/>
    <w:link w:val="21"/>
    <w:semiHidden/>
    <w:qFormat/>
    <w:uiPriority w:val="99"/>
    <w:rPr>
      <w:b/>
      <w:bCs/>
      <w:kern w:val="2"/>
      <w:sz w:val="21"/>
      <w:szCs w:val="24"/>
    </w:rPr>
  </w:style>
  <w:style w:type="paragraph" w:customStyle="1" w:styleId="59">
    <w:name w:val="TOC 标题2"/>
    <w:basedOn w:val="4"/>
    <w:next w:val="1"/>
    <w:unhideWhenUsed/>
    <w:qFormat/>
    <w:uiPriority w:val="39"/>
    <w:pPr>
      <w:widowControl/>
      <w:numPr>
        <w:numId w:val="0"/>
      </w:numPr>
      <w:spacing w:after="0" w:line="259" w:lineRule="auto"/>
      <w:jc w:val="left"/>
      <w:outlineLvl w:val="9"/>
    </w:pPr>
    <w:rPr>
      <w:rFonts w:ascii="等线 Light" w:hAnsi="等线 Light" w:eastAsia="等线 Light"/>
      <w:b w:val="0"/>
      <w:bCs w:val="0"/>
      <w:color w:val="2F5496"/>
      <w:kern w:val="0"/>
      <w:szCs w:val="32"/>
    </w:rPr>
  </w:style>
  <w:style w:type="paragraph" w:customStyle="1" w:styleId="60">
    <w:name w:val="文章正文"/>
    <w:basedOn w:val="1"/>
    <w:qFormat/>
    <w:uiPriority w:val="0"/>
    <w:pPr>
      <w:ind w:firstLine="200" w:firstLineChars="200"/>
    </w:pPr>
    <w:rPr>
      <w:szCs w:val="21"/>
    </w:rPr>
  </w:style>
  <w:style w:type="paragraph" w:customStyle="1" w:styleId="6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character" w:customStyle="1" w:styleId="63">
    <w:name w:val="标题 1 字符"/>
    <w:link w:val="4"/>
    <w:qFormat/>
    <w:uiPriority w:val="9"/>
    <w:rPr>
      <w:rFonts w:ascii="Times New Roman" w:hAnsi="Times New Roman"/>
      <w:b/>
      <w:bCs/>
      <w:kern w:val="44"/>
      <w:sz w:val="32"/>
      <w:szCs w:val="44"/>
    </w:rPr>
  </w:style>
  <w:style w:type="paragraph" w:customStyle="1" w:styleId="64">
    <w:name w:val="列出段落1"/>
    <w:basedOn w:val="1"/>
    <w:qFormat/>
    <w:uiPriority w:val="34"/>
    <w:pPr>
      <w:ind w:firstLine="420" w:firstLineChars="200"/>
    </w:pPr>
  </w:style>
  <w:style w:type="paragraph" w:customStyle="1" w:styleId="65">
    <w:name w:val="表格文字"/>
    <w:basedOn w:val="1"/>
    <w:next w:val="2"/>
    <w:qFormat/>
    <w:uiPriority w:val="0"/>
    <w:pPr>
      <w:adjustRightInd w:val="0"/>
      <w:spacing w:line="420" w:lineRule="atLeast"/>
      <w:jc w:val="left"/>
      <w:textAlignment w:val="baseline"/>
    </w:pPr>
    <w:rPr>
      <w:kern w:val="0"/>
    </w:rPr>
  </w:style>
  <w:style w:type="paragraph" w:customStyle="1" w:styleId="66">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67">
    <w:name w:val="awspan1"/>
    <w:basedOn w:val="23"/>
    <w:qFormat/>
    <w:uiPriority w:val="0"/>
    <w:rPr>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1288</Words>
  <Characters>7347</Characters>
  <Lines>61</Lines>
  <Paragraphs>17</Paragraphs>
  <TotalTime>109</TotalTime>
  <ScaleCrop>false</ScaleCrop>
  <LinksUpToDate>false</LinksUpToDate>
  <CharactersWithSpaces>8618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2020-08-02T16:12:00Z</dcterms:created>
  <dc:creator>胡志雨</dc:creator>
  <cp:lastModifiedBy>张璟</cp:lastModifiedBy>
  <cp:lastPrinted>2023-04-03T08:15:00Z</cp:lastPrinted>
  <dcterms:modified xsi:type="dcterms:W3CDTF">2023-08-04T12:07:20Z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25AA0917DAC641818F99FAD2AD34F010_13</vt:lpwstr>
  </property>
</Properties>
</file>