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</w:rPr>
        <w:t>福建省平潭及闽江口水资源配置</w:t>
      </w:r>
      <w:r>
        <w:rPr>
          <w:rFonts w:hint="eastAsia" w:ascii="宋体" w:hAnsi="宋体" w:cs="宋体"/>
          <w:b/>
          <w:bCs/>
          <w:sz w:val="44"/>
          <w:szCs w:val="44"/>
          <w:u w:val="none"/>
          <w:lang w:eastAsia="zh-CN"/>
        </w:rPr>
        <w:t>工程</w:t>
      </w: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莒口运行维保与后勤物资采购项目</w:t>
      </w: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pStyle w:val="5"/>
      </w:pPr>
    </w:p>
    <w:p>
      <w:pPr>
        <w:pStyle w:val="5"/>
      </w:pP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询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价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函</w:t>
      </w: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询价单位：福州水务</w:t>
      </w:r>
      <w:r>
        <w:rPr>
          <w:rFonts w:hint="eastAsia" w:ascii="微软雅黑" w:hAnsi="微软雅黑" w:eastAsia="微软雅黑"/>
          <w:sz w:val="28"/>
          <w:lang w:eastAsia="zh-CN"/>
        </w:rPr>
        <w:t>水资源</w:t>
      </w:r>
      <w:r>
        <w:rPr>
          <w:rFonts w:hint="eastAsia" w:ascii="微软雅黑" w:hAnsi="微软雅黑" w:eastAsia="微软雅黑"/>
          <w:sz w:val="28"/>
        </w:rPr>
        <w:t>开发有限公司</w:t>
      </w:r>
    </w:p>
    <w:p>
      <w:pPr>
        <w:rPr>
          <w:rFonts w:hint="default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lang w:eastAsia="zh-CN"/>
        </w:rPr>
        <w:t>询价编号：</w:t>
      </w:r>
      <w:r>
        <w:rPr>
          <w:rFonts w:hint="eastAsia" w:ascii="微软雅黑" w:hAnsi="微软雅黑" w:eastAsia="微软雅黑"/>
          <w:sz w:val="28"/>
          <w:lang w:val="en-US" w:eastAsia="zh-CN"/>
        </w:rPr>
        <w:t>XJ-2024-05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联系电话：0591-87867621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联系地址：福建省福州市晋安区龙安路369号中辉大厦12层</w:t>
      </w:r>
    </w:p>
    <w:p>
      <w:pPr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日期：20</w:t>
      </w:r>
      <w:r>
        <w:rPr>
          <w:rFonts w:hint="eastAsia" w:ascii="微软雅黑" w:hAnsi="微软雅黑" w:eastAsia="微软雅黑"/>
          <w:sz w:val="28"/>
          <w:lang w:val="en-US" w:eastAsia="zh-CN"/>
        </w:rPr>
        <w:t>24年3</w:t>
      </w:r>
      <w:r>
        <w:rPr>
          <w:rFonts w:hint="eastAsia" w:ascii="微软雅黑" w:hAnsi="微软雅黑" w:eastAsia="微软雅黑"/>
          <w:sz w:val="28"/>
        </w:rPr>
        <w:t>月</w:t>
      </w:r>
    </w:p>
    <w:p>
      <w:pPr>
        <w:pStyle w:val="5"/>
        <w:rPr>
          <w:rFonts w:hint="eastAsia" w:ascii="微软雅黑" w:hAnsi="微软雅黑" w:eastAsia="微软雅黑"/>
          <w:sz w:val="28"/>
        </w:rPr>
      </w:pPr>
    </w:p>
    <w:p>
      <w:pPr>
        <w:pStyle w:val="5"/>
        <w:rPr>
          <w:rFonts w:hint="eastAsia" w:ascii="微软雅黑" w:hAnsi="微软雅黑" w:eastAsia="微软雅黑"/>
          <w:sz w:val="28"/>
        </w:rPr>
      </w:pPr>
    </w:p>
    <w:p>
      <w:pPr>
        <w:jc w:val="center"/>
        <w:rPr>
          <w:rFonts w:ascii="仿宋" w:hAnsi="仿宋" w:eastAsia="仿宋" w:cs="仿宋"/>
          <w:bCs/>
          <w:color w:val="595959"/>
          <w:sz w:val="28"/>
          <w:szCs w:val="28"/>
        </w:rPr>
      </w:pPr>
      <w:r>
        <w:rPr>
          <w:rFonts w:hint="eastAsia" w:ascii="黑体" w:hAnsi="宋体" w:eastAsia="黑体"/>
          <w:b/>
          <w:sz w:val="44"/>
          <w:szCs w:val="44"/>
        </w:rPr>
        <w:t>询价邀请函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仿宋"/>
          <w:bCs/>
          <w:sz w:val="24"/>
          <w:highlight w:val="none"/>
          <w:lang w:eastAsia="zh-CN"/>
        </w:rPr>
      </w:pPr>
      <w:r>
        <w:rPr>
          <w:rFonts w:hint="eastAsia" w:ascii="宋体" w:hAnsi="宋体" w:eastAsia="宋体" w:cs="仿宋"/>
          <w:bCs/>
          <w:sz w:val="24"/>
          <w:highlight w:val="none"/>
          <w:lang w:eastAsia="zh-CN"/>
        </w:rPr>
        <w:t>各报价单位：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仿宋"/>
          <w:bCs/>
          <w:sz w:val="24"/>
        </w:rPr>
        <w:t>本询价项目</w:t>
      </w:r>
      <w:r>
        <w:rPr>
          <w:rFonts w:hint="eastAsia" w:ascii="宋体" w:hAnsi="宋体" w:eastAsia="宋体" w:cs="仿宋"/>
          <w:bCs/>
          <w:sz w:val="24"/>
          <w:lang w:eastAsia="zh-CN"/>
        </w:rPr>
        <w:t>名称为福建省平潭及闽江口水资源配置工程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莒口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工区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运行维保与后勤物资采购项目</w:t>
      </w:r>
      <w:r>
        <w:rPr>
          <w:rFonts w:hint="eastAsia" w:ascii="宋体" w:hAnsi="宋体" w:eastAsia="宋体" w:cs="仿宋"/>
          <w:bCs/>
          <w:sz w:val="24"/>
        </w:rPr>
        <w:t>。项目业主为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福州水务水资源开发有限公司</w:t>
      </w:r>
      <w:r>
        <w:rPr>
          <w:rFonts w:hint="eastAsia" w:ascii="宋体" w:hAnsi="宋体" w:eastAsia="宋体" w:cs="仿宋"/>
          <w:bCs/>
          <w:sz w:val="24"/>
        </w:rPr>
        <w:t>。本项目已具备询价条件，现决定对该项目进行国内公开询价，欢迎国内合格询价人对本询价项目进行报价。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cs="仿宋" w:asciiTheme="minorEastAsia" w:hAnsiTheme="minorEastAsia" w:eastAsiaTheme="minorEastAsia"/>
          <w:b/>
          <w:bCs w:val="0"/>
          <w:sz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</w:rPr>
        <w:t>工作范围和内容：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仿宋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1、询价货物名称、数量及主要技术规格：详见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附件三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《单项工程汇总表》。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2、交货期：供货人收到采购计划后按采购人提供的货物规格、数量</w:t>
      </w:r>
      <w:r>
        <w:rPr>
          <w:rFonts w:hint="eastAsia" w:ascii="宋体" w:hAnsi="宋体" w:cs="仿宋"/>
          <w:bCs/>
          <w:sz w:val="24"/>
          <w:highlight w:val="none"/>
          <w:lang w:eastAsia="zh-CN"/>
        </w:rPr>
        <w:t>二十</w:t>
      </w:r>
      <w:r>
        <w:rPr>
          <w:rFonts w:hint="eastAsia" w:ascii="宋体" w:hAnsi="宋体" w:eastAsia="宋体" w:cs="仿宋"/>
          <w:bCs/>
          <w:sz w:val="24"/>
          <w:highlight w:val="none"/>
        </w:rPr>
        <w:t>个日历日内到货。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3、交货地点：福州市永泰县塘前乡大樟村莒口拦河闸。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4、工作内容：供货人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根据采购人的采购需求提供相应的货物</w:t>
      </w:r>
      <w:r>
        <w:rPr>
          <w:rFonts w:hint="eastAsia" w:ascii="宋体" w:hAnsi="宋体" w:eastAsia="宋体" w:cs="仿宋"/>
          <w:bCs/>
          <w:sz w:val="24"/>
          <w:highlight w:val="none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5、质量要求：保证所有货物是全新、未使用过的原始生产厂家生产的合格正品，所有货物需有出厂合格证。其中安全帽需带具有省级技术监督部门颁发CMA计量认证证书单位检测单位出具的预试标签和检测报告；消防器材需带3C认证。所有货物需通过验收组人员现场检查、验收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仿宋"/>
          <w:bCs/>
          <w:sz w:val="24"/>
          <w:highlight w:val="none"/>
        </w:rPr>
      </w:pPr>
      <w:r>
        <w:rPr>
          <w:rFonts w:hint="eastAsia" w:ascii="宋体" w:hAnsi="宋体" w:eastAsia="宋体" w:cs="仿宋"/>
          <w:bCs/>
          <w:sz w:val="24"/>
          <w:highlight w:val="none"/>
        </w:rPr>
        <w:t>6、质量保证期：全部货物验收合格之日起一年。</w:t>
      </w:r>
    </w:p>
    <w:p>
      <w:pPr>
        <w:spacing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  <w:t>二、付款方式：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合同签订生效十五个工作日内，支付至合同总价的20%,待全部货物到货验收合格后支付至合同金额的90%,余款待质量保证期满后付清。供货人申请付款时应提供相应金额的增值税普通发票。</w:t>
      </w:r>
    </w:p>
    <w:p>
      <w:pPr>
        <w:spacing w:line="360" w:lineRule="auto"/>
        <w:ind w:firstLine="482" w:firstLineChars="200"/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  <w:t>三、货物质量保证金：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1、本项目的质量保证金为合同总价的10%,质量保证金不计银行利息。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2、本项目货物质量保证期为验收合格后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一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年，在保修期内如发生质量问题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供货人应负责无偿修复。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仿宋"/>
          <w:b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仿宋"/>
          <w:b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仿宋"/>
          <w:b/>
          <w:bCs w:val="0"/>
          <w:sz w:val="24"/>
          <w:highlight w:val="none"/>
          <w:lang w:val="en-US" w:eastAsia="zh-CN"/>
        </w:rPr>
        <w:t>、报价文件递交截止时间</w:t>
      </w:r>
      <w:r>
        <w:rPr>
          <w:rFonts w:hint="eastAsia" w:ascii="宋体" w:hAnsi="宋体" w:cs="仿宋"/>
          <w:b/>
          <w:bCs w:val="0"/>
          <w:sz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仿宋"/>
          <w:b/>
          <w:bCs w:val="0"/>
          <w:sz w:val="24"/>
        </w:rPr>
        <w:t>联系方式：</w:t>
      </w:r>
    </w:p>
    <w:p>
      <w:pPr>
        <w:widowControl/>
        <w:spacing w:line="360" w:lineRule="auto"/>
        <w:ind w:firstLine="480" w:firstLineChars="200"/>
        <w:rPr>
          <w:rFonts w:hint="default" w:ascii="宋体" w:hAnsi="宋体" w:eastAsia="宋体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/>
          <w:kern w:val="0"/>
          <w:sz w:val="24"/>
        </w:rPr>
        <w:t>本项目仅接受现场递交</w:t>
      </w:r>
      <w:r>
        <w:rPr>
          <w:rFonts w:hint="eastAsia" w:ascii="宋体"/>
          <w:kern w:val="0"/>
          <w:sz w:val="24"/>
          <w:lang w:eastAsia="zh-CN"/>
        </w:rPr>
        <w:t>报价</w:t>
      </w:r>
      <w:r>
        <w:rPr>
          <w:rFonts w:hint="eastAsia" w:ascii="宋体"/>
          <w:kern w:val="0"/>
          <w:sz w:val="24"/>
        </w:rPr>
        <w:t>文件：</w:t>
      </w:r>
      <w:r>
        <w:rPr>
          <w:rFonts w:hint="eastAsia" w:ascii="宋体" w:hAnsi="宋体" w:cs="宋体"/>
          <w:kern w:val="0"/>
          <w:sz w:val="24"/>
          <w:lang w:val="zh-CN"/>
        </w:rPr>
        <w:t>报价人的</w:t>
      </w:r>
      <w:r>
        <w:rPr>
          <w:rFonts w:hint="eastAsia" w:ascii="宋体" w:hAnsi="宋体" w:cs="宋体"/>
          <w:kern w:val="0"/>
          <w:sz w:val="24"/>
        </w:rPr>
        <w:t>法人或其</w:t>
      </w:r>
      <w:r>
        <w:rPr>
          <w:rFonts w:hint="eastAsia" w:ascii="宋体" w:hAnsi="宋体" w:cs="宋体"/>
          <w:kern w:val="0"/>
          <w:sz w:val="24"/>
          <w:lang w:val="zh-CN"/>
        </w:rPr>
        <w:t>授权委托人持身份证原件（复印件加盖公章）、授权委托书原件，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请于202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年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月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仿宋"/>
          <w:bCs/>
          <w:sz w:val="24"/>
          <w:highlight w:val="none"/>
          <w:lang w:val="en-US" w:eastAsia="zh-CN"/>
        </w:rPr>
        <w:t>日17:30分（北京时间）以前，将密封完好的报价文件（加盖公章）送至指定地点(项目业主办公场所,福州市晋安区龙安路369号中辉大厦11楼)，逾期不予受理</w:t>
      </w:r>
      <w:r>
        <w:rPr>
          <w:rFonts w:hint="eastAsia" w:ascii="宋体" w:hAnsi="宋体" w:cs="仿宋"/>
          <w:bCs/>
          <w:sz w:val="24"/>
          <w:highlight w:val="none"/>
          <w:lang w:val="en-US" w:eastAsia="zh-CN"/>
        </w:rPr>
        <w:t>。</w:t>
      </w:r>
      <w:r>
        <w:rPr>
          <w:rFonts w:hint="eastAsia" w:ascii="宋体" w:hAnsi="宋体" w:cs="宋体"/>
          <w:kern w:val="0"/>
          <w:sz w:val="24"/>
          <w:lang w:val="zh-CN"/>
        </w:rPr>
        <w:t>逾期送达的或不符合规定的报价文件，询价人不予接收</w:t>
      </w:r>
      <w:r>
        <w:rPr>
          <w:rFonts w:hint="eastAsia" w:ascii="宋体"/>
          <w:b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联系人：</w:t>
      </w:r>
      <w:r>
        <w:rPr>
          <w:rFonts w:hint="eastAsia" w:ascii="宋体" w:hAnsi="宋体" w:eastAsia="宋体" w:cs="仿宋"/>
          <w:bCs/>
          <w:sz w:val="24"/>
          <w:lang w:eastAsia="zh-CN"/>
        </w:rPr>
        <w:t>黄</w:t>
      </w:r>
      <w:r>
        <w:rPr>
          <w:rFonts w:hint="eastAsia" w:ascii="宋体" w:hAnsi="宋体" w:cs="仿宋"/>
          <w:bCs/>
          <w:sz w:val="24"/>
          <w:lang w:eastAsia="zh-CN"/>
        </w:rPr>
        <w:t>工</w:t>
      </w:r>
      <w:r>
        <w:rPr>
          <w:rFonts w:hint="eastAsia" w:ascii="宋体" w:hAnsi="宋体" w:eastAsia="宋体" w:cs="仿宋"/>
          <w:bCs/>
          <w:sz w:val="24"/>
        </w:rPr>
        <w:t>；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联系电话：0591-87867621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传真：0591—87888761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cs="仿宋" w:asciiTheme="minorEastAsia" w:hAnsiTheme="minorEastAsia" w:eastAsiaTheme="minorEastAsia"/>
          <w:b/>
          <w:bCs w:val="0"/>
          <w:sz w:val="24"/>
        </w:rPr>
      </w:pPr>
      <w:r>
        <w:rPr>
          <w:rFonts w:hint="eastAsia" w:cs="仿宋" w:asciiTheme="minorEastAsia" w:hAnsiTheme="minorEastAsia" w:eastAsiaTheme="minorEastAsia"/>
          <w:b/>
          <w:bCs w:val="0"/>
          <w:sz w:val="24"/>
          <w:lang w:eastAsia="zh-CN"/>
        </w:rPr>
        <w:t>五</w:t>
      </w:r>
      <w:r>
        <w:rPr>
          <w:rFonts w:hint="eastAsia" w:cs="仿宋" w:asciiTheme="minorEastAsia" w:hAnsiTheme="minorEastAsia" w:eastAsiaTheme="minorEastAsia"/>
          <w:b/>
          <w:bCs w:val="0"/>
          <w:sz w:val="24"/>
        </w:rPr>
        <w:t>、报价说明：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1、</w:t>
      </w:r>
      <w:r>
        <w:rPr>
          <w:rFonts w:hint="eastAsia" w:cs="仿宋" w:asciiTheme="minorEastAsia" w:hAnsiTheme="minorEastAsia" w:eastAsiaTheme="minorEastAsia"/>
          <w:bCs/>
          <w:sz w:val="24"/>
        </w:rPr>
        <w:t>本项目要求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报价单位</w:t>
      </w:r>
      <w:r>
        <w:rPr>
          <w:rFonts w:hint="eastAsia" w:cs="仿宋" w:asciiTheme="minorEastAsia" w:hAnsiTheme="minorEastAsia" w:eastAsiaTheme="minorEastAsia"/>
          <w:bCs/>
          <w:sz w:val="24"/>
        </w:rPr>
        <w:t>具备有效的独立法人资格；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、接受询价单位根据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清单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内容自主做出报价，其报价应包含本单位管理费、利润、税费、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包装费、运费、安装费用、装卸费、人工费用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本项目最高限价为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199207</w:t>
      </w:r>
      <w:r>
        <w:rPr>
          <w:rFonts w:hint="eastAsia" w:cs="仿宋" w:asciiTheme="minorEastAsia" w:hAnsiTheme="minorEastAsia" w:eastAsiaTheme="minorEastAsia"/>
          <w:b/>
          <w:bCs/>
          <w:sz w:val="24"/>
          <w:highlight w:val="none"/>
        </w:rPr>
        <w:t>元整，报价不得超过最高限价。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cs="仿宋" w:asciiTheme="minorEastAsia" w:hAnsiTheme="minorEastAsia" w:eastAsiaTheme="minorEastAsia"/>
          <w:bCs/>
          <w:sz w:val="24"/>
          <w:highlight w:val="yellow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、报价文件按以下资料提交：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（1）福建省平潭及闽江口水资源配置工程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莒口工区运行维保与后勤物资采购项目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报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价承诺函及报价表（附件一）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（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）其他相关资料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（营业执照、资质证书等）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（3）授权委托书</w:t>
      </w:r>
    </w:p>
    <w:p>
      <w:pPr>
        <w:spacing w:before="3" w:line="348" w:lineRule="auto"/>
        <w:ind w:right="107" w:firstLine="630"/>
        <w:rPr>
          <w:rFonts w:hint="eastAsia" w:ascii="宋体" w:hAnsi="宋体" w:eastAsia="宋体" w:cs="仿宋"/>
          <w:b/>
          <w:sz w:val="24"/>
          <w:lang w:eastAsia="zh-CN"/>
        </w:rPr>
      </w:pPr>
      <w:r>
        <w:rPr>
          <w:rFonts w:hint="eastAsia" w:ascii="宋体" w:hAnsi="宋体" w:cs="仿宋"/>
          <w:b/>
          <w:sz w:val="24"/>
          <w:lang w:eastAsia="zh-CN"/>
        </w:rPr>
        <w:t>六</w:t>
      </w:r>
      <w:r>
        <w:rPr>
          <w:rFonts w:hint="eastAsia" w:ascii="宋体" w:hAnsi="宋体" w:eastAsia="宋体" w:cs="仿宋"/>
          <w:b/>
          <w:sz w:val="24"/>
        </w:rPr>
        <w:t>、现场考察</w:t>
      </w:r>
      <w:r>
        <w:rPr>
          <w:rFonts w:hint="eastAsia" w:ascii="宋体" w:hAnsi="宋体" w:eastAsia="宋体" w:cs="仿宋"/>
          <w:b/>
          <w:sz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本项目不组织统一的现场考察</w:t>
      </w:r>
      <w:r>
        <w:rPr>
          <w:rFonts w:hint="eastAsia" w:ascii="宋体" w:hAnsi="宋体" w:eastAsia="宋体" w:cs="仿宋"/>
          <w:bCs/>
          <w:sz w:val="24"/>
          <w:lang w:eastAsia="zh-CN"/>
        </w:rPr>
        <w:t>，</w:t>
      </w:r>
      <w:r>
        <w:rPr>
          <w:rFonts w:hint="eastAsia" w:ascii="宋体" w:hAnsi="宋体" w:eastAsia="宋体" w:cs="仿宋"/>
          <w:bCs/>
          <w:sz w:val="24"/>
        </w:rPr>
        <w:t>如有需要</w:t>
      </w:r>
      <w:r>
        <w:rPr>
          <w:rFonts w:hint="eastAsia" w:ascii="宋体" w:hAnsi="宋体" w:eastAsia="宋体" w:cs="仿宋"/>
          <w:bCs/>
          <w:sz w:val="24"/>
          <w:lang w:eastAsia="zh-CN"/>
        </w:rPr>
        <w:t>，</w:t>
      </w:r>
      <w:r>
        <w:rPr>
          <w:rFonts w:hint="eastAsia" w:ascii="宋体" w:hAnsi="宋体" w:eastAsia="宋体" w:cs="仿宋"/>
          <w:bCs/>
          <w:sz w:val="24"/>
        </w:rPr>
        <w:t>报价人可与采购人联系相关事宜</w:t>
      </w:r>
      <w:r>
        <w:rPr>
          <w:rFonts w:hint="eastAsia" w:ascii="宋体" w:hAnsi="宋体" w:eastAsia="宋体" w:cs="仿宋"/>
          <w:bCs/>
          <w:sz w:val="24"/>
          <w:lang w:eastAsia="zh-CN"/>
        </w:rPr>
        <w:t>，</w:t>
      </w:r>
      <w:r>
        <w:rPr>
          <w:rFonts w:hint="eastAsia" w:ascii="宋体" w:hAnsi="宋体" w:eastAsia="宋体" w:cs="仿宋"/>
          <w:bCs/>
          <w:sz w:val="24"/>
        </w:rPr>
        <w:t>所涉及的费用和风险由报价人自行承担。</w:t>
      </w:r>
      <w:r>
        <w:rPr>
          <w:rFonts w:hint="eastAsia" w:ascii="宋体" w:hAnsi="宋体" w:cs="仿宋"/>
          <w:bCs/>
          <w:sz w:val="24"/>
        </w:rPr>
        <w:t xml:space="preserve"> </w:t>
      </w:r>
    </w:p>
    <w:p>
      <w:pPr>
        <w:spacing w:line="360" w:lineRule="auto"/>
        <w:ind w:firstLine="482" w:firstLineChars="200"/>
        <w:rPr>
          <w:rStyle w:val="13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仿宋"/>
          <w:b/>
          <w:sz w:val="24"/>
          <w:lang w:eastAsia="zh-CN"/>
        </w:rPr>
        <w:t>七</w:t>
      </w:r>
      <w:r>
        <w:rPr>
          <w:rFonts w:hint="eastAsia" w:ascii="宋体" w:hAnsi="宋体" w:eastAsia="宋体" w:cs="仿宋"/>
          <w:b/>
          <w:sz w:val="24"/>
          <w:lang w:eastAsia="zh-CN"/>
        </w:rPr>
        <w:t>、评审办法</w:t>
      </w:r>
      <w:r>
        <w:rPr>
          <w:rStyle w:val="13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及地点</w:t>
      </w:r>
    </w:p>
    <w:p>
      <w:pPr>
        <w:spacing w:before="108" w:line="349" w:lineRule="auto"/>
        <w:ind w:right="18" w:firstLine="649"/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1、评审办法：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采用"最低价评选法"确定中选单位。在资格条件符合要求的情况下，报价总价最低者中选。若遇报价人报价相同的情况，将以现场随机抽取的方式确定中选供应商。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480"/>
        <w:jc w:val="both"/>
        <w:rPr>
          <w:rFonts w:hint="eastAsia" w:ascii="Helvetica" w:hAnsi="Helvetica" w:eastAsia="宋体" w:cs="Helvetica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2、评审地点：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福州水务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水资源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开发有限公司会议室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480"/>
        <w:jc w:val="both"/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仿宋"/>
          <w:b/>
          <w:sz w:val="24"/>
          <w:lang w:eastAsia="zh-CN"/>
        </w:rPr>
        <w:t>八</w:t>
      </w:r>
      <w:r>
        <w:rPr>
          <w:rFonts w:hint="eastAsia" w:ascii="宋体" w:hAnsi="宋体" w:eastAsia="宋体" w:cs="仿宋"/>
          <w:b/>
          <w:sz w:val="24"/>
          <w:lang w:eastAsia="zh-CN"/>
        </w:rPr>
        <w:t>、</w:t>
      </w:r>
      <w:r>
        <w:rPr>
          <w:rStyle w:val="13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询价结果确认及公告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确定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中选单位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后五个工作日内，成交结果将以电话形式告知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中选单位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福州水务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水资源</w:t>
      </w:r>
      <w:r>
        <w:rPr>
          <w:rFonts w:hint="eastAsia" w:cs="仿宋" w:asciiTheme="minorEastAsia" w:hAnsiTheme="minorEastAsia" w:eastAsiaTheme="minorEastAsia"/>
          <w:bCs/>
          <w:sz w:val="24"/>
        </w:rPr>
        <w:t>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cs="仿宋" w:asciiTheme="minorEastAsia" w:hAnsiTheme="minorEastAsia" w:eastAsiaTheme="minorEastAsia"/>
          <w:bCs/>
          <w:sz w:val="24"/>
        </w:rPr>
        <w:t>20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24</w:t>
      </w:r>
      <w:r>
        <w:rPr>
          <w:rFonts w:hint="eastAsia" w:cs="仿宋" w:asciiTheme="minorEastAsia" w:hAnsiTheme="minorEastAsia" w:eastAsiaTheme="minorEastAsia"/>
          <w:bCs/>
          <w:sz w:val="24"/>
        </w:rPr>
        <w:t>年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  <w:bCs/>
          <w:sz w:val="24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25</w:t>
      </w:r>
      <w:r>
        <w:rPr>
          <w:rFonts w:hint="eastAsia" w:cs="仿宋" w:asciiTheme="minorEastAsia" w:hAnsiTheme="minorEastAsia" w:eastAsiaTheme="minorEastAsia"/>
          <w:bCs/>
          <w:sz w:val="24"/>
        </w:rPr>
        <w:t>日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pStyle w:val="2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pStyle w:val="2"/>
        <w:rPr>
          <w:rFonts w:hint="eastAsia"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附件一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/>
          <w:b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sz w:val="44"/>
          <w:szCs w:val="44"/>
          <w:highlight w:val="none"/>
        </w:rPr>
        <w:t>福建省平潭及闽江口水资源配置</w:t>
      </w: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工程</w:t>
      </w:r>
      <w:r>
        <w:rPr>
          <w:rFonts w:hint="eastAsia" w:ascii="黑体" w:hAnsi="宋体" w:eastAsia="黑体"/>
          <w:b/>
          <w:sz w:val="44"/>
          <w:szCs w:val="44"/>
          <w:highlight w:val="none"/>
          <w:lang w:val="en-US" w:eastAsia="zh-CN"/>
        </w:rPr>
        <w:t>莒口工区运行维保与后勤物资采购项目</w:t>
      </w:r>
      <w:r>
        <w:rPr>
          <w:rFonts w:hint="eastAsia" w:ascii="黑体" w:hAnsi="宋体" w:eastAsia="黑体"/>
          <w:b/>
          <w:sz w:val="44"/>
          <w:szCs w:val="44"/>
          <w:highlight w:val="none"/>
          <w:lang w:eastAsia="zh-CN"/>
        </w:rPr>
        <w:t>报</w:t>
      </w:r>
      <w:r>
        <w:rPr>
          <w:rFonts w:hint="eastAsia" w:ascii="黑体" w:hAnsi="宋体" w:eastAsia="黑体"/>
          <w:b/>
          <w:sz w:val="44"/>
          <w:szCs w:val="44"/>
          <w:highlight w:val="none"/>
        </w:rPr>
        <w:t>价承诺函及报价表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福州水务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水资源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开发有限公司：</w:t>
      </w:r>
    </w:p>
    <w:p>
      <w:pPr>
        <w:ind w:firstLine="640" w:firstLineChars="200"/>
        <w:jc w:val="left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我单位已理解贵单位的项目情况与要求，同意按要求对福建省平潭及闽江水资源配置工程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莒口工区运行维保与后勤物资采购项目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进行报价，总报价为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元，报价包含本单位管理费、利润、税费、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包装费、运费、安装费用、装卸费、人工费用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 xml:space="preserve">    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传  真：                          邮    箱：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960" w:firstLineChars="300"/>
        <w:rPr>
          <w:rFonts w:cs="仿宋" w:asciiTheme="minorEastAsia" w:hAnsiTheme="minorEastAsia" w:eastAsiaTheme="minorEastAsia"/>
          <w:bCs/>
          <w:sz w:val="32"/>
          <w:szCs w:val="32"/>
        </w:rPr>
      </w:pPr>
    </w:p>
    <w:p>
      <w:pPr>
        <w:spacing w:line="360" w:lineRule="auto"/>
        <w:ind w:right="480" w:firstLine="5280" w:firstLineChars="1650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报价承诺单位：（公章）</w:t>
      </w:r>
    </w:p>
    <w:p>
      <w:pPr>
        <w:spacing w:line="360" w:lineRule="auto"/>
        <w:ind w:right="480" w:firstLine="5280" w:firstLineChars="1650"/>
        <w:rPr>
          <w:rFonts w:hint="eastAsia"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法 人 代 表：（签名）</w:t>
      </w:r>
    </w:p>
    <w:p>
      <w:pPr>
        <w:spacing w:before="117" w:line="222" w:lineRule="auto"/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</w:pPr>
    </w:p>
    <w:p>
      <w:pPr>
        <w:pStyle w:val="2"/>
      </w:pPr>
    </w:p>
    <w:p>
      <w:pPr>
        <w:pStyle w:val="2"/>
      </w:pPr>
    </w:p>
    <w:p>
      <w:pPr>
        <w:spacing w:before="117" w:line="222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val="en-US" w:eastAsia="zh-CN"/>
        </w:rPr>
        <w:t>二：</w:t>
      </w: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授权委托书</w:t>
      </w: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>福建省平潭及闽江口水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资源配置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>工程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莒口工区运行维保与后勤物资采购项目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pPr>
        <w:pStyle w:val="2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9AC2CA"/>
    <w:multiLevelType w:val="singleLevel"/>
    <w:tmpl w:val="9A9AC2C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M4N2VlZDVlZWZlNGZlZDAyOGVhMzI5MjVlZWMifQ=="/>
  </w:docVars>
  <w:rsids>
    <w:rsidRoot w:val="009248A1"/>
    <w:rsid w:val="00007EE5"/>
    <w:rsid w:val="00012E34"/>
    <w:rsid w:val="00076425"/>
    <w:rsid w:val="00096DC7"/>
    <w:rsid w:val="000A12C0"/>
    <w:rsid w:val="000B6798"/>
    <w:rsid w:val="000E7D56"/>
    <w:rsid w:val="000F32C9"/>
    <w:rsid w:val="000F7AC7"/>
    <w:rsid w:val="00102A6E"/>
    <w:rsid w:val="00114E54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50BD6"/>
    <w:rsid w:val="004B3FF0"/>
    <w:rsid w:val="005204EA"/>
    <w:rsid w:val="00520DC7"/>
    <w:rsid w:val="00525272"/>
    <w:rsid w:val="00526C59"/>
    <w:rsid w:val="005916D6"/>
    <w:rsid w:val="005C2F16"/>
    <w:rsid w:val="005C761B"/>
    <w:rsid w:val="005D68A2"/>
    <w:rsid w:val="00614D69"/>
    <w:rsid w:val="006532B2"/>
    <w:rsid w:val="00677FB1"/>
    <w:rsid w:val="0068040F"/>
    <w:rsid w:val="006C6C1F"/>
    <w:rsid w:val="006E6BB6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A25CD"/>
    <w:rsid w:val="009B2732"/>
    <w:rsid w:val="009D4675"/>
    <w:rsid w:val="00A0600D"/>
    <w:rsid w:val="00A22B19"/>
    <w:rsid w:val="00A54523"/>
    <w:rsid w:val="00A909C7"/>
    <w:rsid w:val="00AA2CE0"/>
    <w:rsid w:val="00B00D65"/>
    <w:rsid w:val="00B53536"/>
    <w:rsid w:val="00B53557"/>
    <w:rsid w:val="00B57C35"/>
    <w:rsid w:val="00B611BF"/>
    <w:rsid w:val="00B63850"/>
    <w:rsid w:val="00B839E6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1146A05"/>
    <w:rsid w:val="01DA71FD"/>
    <w:rsid w:val="021E1DDB"/>
    <w:rsid w:val="033E7101"/>
    <w:rsid w:val="07097292"/>
    <w:rsid w:val="088308EA"/>
    <w:rsid w:val="08C22F51"/>
    <w:rsid w:val="0A195A3E"/>
    <w:rsid w:val="0B304BB8"/>
    <w:rsid w:val="0B6A006D"/>
    <w:rsid w:val="0D081CAE"/>
    <w:rsid w:val="0FEA7CAD"/>
    <w:rsid w:val="11B62CEB"/>
    <w:rsid w:val="128B6315"/>
    <w:rsid w:val="12A8769F"/>
    <w:rsid w:val="13780A59"/>
    <w:rsid w:val="17752550"/>
    <w:rsid w:val="1A9058A9"/>
    <w:rsid w:val="1AF04373"/>
    <w:rsid w:val="1BD24C19"/>
    <w:rsid w:val="1C5816CC"/>
    <w:rsid w:val="1CA62FCC"/>
    <w:rsid w:val="1D3F4A6C"/>
    <w:rsid w:val="1F5D3BC6"/>
    <w:rsid w:val="1F8149A4"/>
    <w:rsid w:val="204B3A8E"/>
    <w:rsid w:val="20B50300"/>
    <w:rsid w:val="23026551"/>
    <w:rsid w:val="23342975"/>
    <w:rsid w:val="24902282"/>
    <w:rsid w:val="28D754C5"/>
    <w:rsid w:val="29B30CFC"/>
    <w:rsid w:val="2A183AEA"/>
    <w:rsid w:val="2C126FA0"/>
    <w:rsid w:val="2C644245"/>
    <w:rsid w:val="2C9B424D"/>
    <w:rsid w:val="31B7500F"/>
    <w:rsid w:val="326912B1"/>
    <w:rsid w:val="350E4E26"/>
    <w:rsid w:val="3BA8219F"/>
    <w:rsid w:val="3D7F55DD"/>
    <w:rsid w:val="3E481E73"/>
    <w:rsid w:val="408E3D89"/>
    <w:rsid w:val="419E4822"/>
    <w:rsid w:val="41EE2D31"/>
    <w:rsid w:val="42A853B4"/>
    <w:rsid w:val="42C6464D"/>
    <w:rsid w:val="46290A4B"/>
    <w:rsid w:val="47C61766"/>
    <w:rsid w:val="4EB827F1"/>
    <w:rsid w:val="51844935"/>
    <w:rsid w:val="53631AD7"/>
    <w:rsid w:val="53D61877"/>
    <w:rsid w:val="55BA31FE"/>
    <w:rsid w:val="562C2B4E"/>
    <w:rsid w:val="57CE1CE2"/>
    <w:rsid w:val="58D45C48"/>
    <w:rsid w:val="5C047D22"/>
    <w:rsid w:val="5D3819AB"/>
    <w:rsid w:val="600B05D5"/>
    <w:rsid w:val="617701B1"/>
    <w:rsid w:val="64BC4F5E"/>
    <w:rsid w:val="651B1217"/>
    <w:rsid w:val="6695072F"/>
    <w:rsid w:val="66EC51E2"/>
    <w:rsid w:val="6759093F"/>
    <w:rsid w:val="6A512524"/>
    <w:rsid w:val="6CA5610F"/>
    <w:rsid w:val="6FB254B2"/>
    <w:rsid w:val="7021102D"/>
    <w:rsid w:val="71AE0A49"/>
    <w:rsid w:val="71BA5261"/>
    <w:rsid w:val="721B52D2"/>
    <w:rsid w:val="76825D9E"/>
    <w:rsid w:val="76C12812"/>
    <w:rsid w:val="787C79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420" w:firstLineChars="200"/>
      <w:jc w:val="both"/>
      <w:textAlignment w:val="auto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3">
    <w:name w:val="Body Text Indent"/>
    <w:basedOn w:val="1"/>
    <w:next w:val="1"/>
    <w:link w:val="20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 2"/>
    <w:basedOn w:val="1"/>
    <w:link w:val="16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5">
    <w:name w:val="Hyperlink"/>
    <w:basedOn w:val="12"/>
    <w:semiHidden/>
    <w:unhideWhenUsed/>
    <w:qFormat/>
    <w:uiPriority w:val="99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16">
    <w:name w:val="正文文本缩进 2 Char"/>
    <w:basedOn w:val="12"/>
    <w:link w:val="6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7">
    <w:name w:val="标题 4 Char"/>
    <w:basedOn w:val="12"/>
    <w:link w:val="4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8">
    <w:name w:val="页眉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缩进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2">
    <w:name w:val="fontstyle01"/>
    <w:basedOn w:val="12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3">
    <w:name w:val="after"/>
    <w:basedOn w:val="12"/>
    <w:qFormat/>
    <w:uiPriority w:val="0"/>
    <w:rPr>
      <w:bdr w:val="dashed" w:color="auto" w:sz="48" w:space="0"/>
    </w:rPr>
  </w:style>
  <w:style w:type="character" w:customStyle="1" w:styleId="24">
    <w:name w:val="after1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4285F4"/>
      <w:bdr w:val="single" w:color="4285F4" w:sz="6" w:space="0"/>
    </w:rPr>
  </w:style>
  <w:style w:type="character" w:customStyle="1" w:styleId="26">
    <w:name w:val="credit"/>
    <w:basedOn w:val="12"/>
    <w:qFormat/>
    <w:uiPriority w:val="0"/>
    <w:rPr>
      <w:sz w:val="18"/>
      <w:szCs w:val="18"/>
    </w:rPr>
  </w:style>
  <w:style w:type="character" w:customStyle="1" w:styleId="27">
    <w:name w:val="before"/>
    <w:basedOn w:val="12"/>
    <w:qFormat/>
    <w:uiPriority w:val="0"/>
    <w:rPr>
      <w:bdr w:val="single" w:color="auto" w:sz="48" w:space="0"/>
    </w:rPr>
  </w:style>
  <w:style w:type="character" w:customStyle="1" w:styleId="28">
    <w:name w:val="hover"/>
    <w:basedOn w:val="12"/>
    <w:qFormat/>
    <w:uiPriority w:val="0"/>
    <w:rPr>
      <w:shd w:val="clear" w:fill="346AC3"/>
    </w:rPr>
  </w:style>
  <w:style w:type="character" w:customStyle="1" w:styleId="29">
    <w:name w:val="hover1"/>
    <w:basedOn w:val="12"/>
    <w:qFormat/>
    <w:uiPriority w:val="0"/>
    <w:rPr>
      <w:color w:val="4285F4"/>
    </w:rPr>
  </w:style>
  <w:style w:type="character" w:customStyle="1" w:styleId="30">
    <w:name w:val="hover2"/>
    <w:basedOn w:val="12"/>
    <w:qFormat/>
    <w:uiPriority w:val="0"/>
    <w:rPr>
      <w:color w:val="4285F4"/>
    </w:rPr>
  </w:style>
  <w:style w:type="character" w:customStyle="1" w:styleId="31">
    <w:name w:val="hover3"/>
    <w:basedOn w:val="12"/>
    <w:qFormat/>
    <w:uiPriority w:val="0"/>
    <w:rPr>
      <w:color w:val="4285F4"/>
      <w:u w:val="none"/>
    </w:rPr>
  </w:style>
  <w:style w:type="character" w:customStyle="1" w:styleId="32">
    <w:name w:val="hover4"/>
    <w:basedOn w:val="12"/>
    <w:qFormat/>
    <w:uiPriority w:val="0"/>
    <w:rPr>
      <w:color w:val="1A85D7"/>
    </w:rPr>
  </w:style>
  <w:style w:type="character" w:customStyle="1" w:styleId="33">
    <w:name w:val="hover5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last-child1"/>
    <w:basedOn w:val="12"/>
    <w:qFormat/>
    <w:uiPriority w:val="0"/>
  </w:style>
  <w:style w:type="character" w:customStyle="1" w:styleId="36">
    <w:name w:val="hover42"/>
    <w:basedOn w:val="12"/>
    <w:qFormat/>
    <w:uiPriority w:val="0"/>
    <w:rPr>
      <w:shd w:val="clear" w:fill="346AC3"/>
    </w:rPr>
  </w:style>
  <w:style w:type="character" w:customStyle="1" w:styleId="37">
    <w:name w:val="hover43"/>
    <w:basedOn w:val="12"/>
    <w:qFormat/>
    <w:uiPriority w:val="0"/>
    <w:rPr>
      <w:color w:val="4285F4"/>
    </w:rPr>
  </w:style>
  <w:style w:type="character" w:customStyle="1" w:styleId="38">
    <w:name w:val="hover44"/>
    <w:basedOn w:val="12"/>
    <w:qFormat/>
    <w:uiPriority w:val="0"/>
    <w:rPr>
      <w:color w:val="4285F4"/>
      <w:u w:val="none"/>
    </w:rPr>
  </w:style>
  <w:style w:type="character" w:customStyle="1" w:styleId="39">
    <w:name w:val="hover45"/>
    <w:basedOn w:val="12"/>
    <w:qFormat/>
    <w:uiPriority w:val="0"/>
    <w:rPr>
      <w:color w:val="4285F4"/>
    </w:rPr>
  </w:style>
  <w:style w:type="character" w:customStyle="1" w:styleId="40">
    <w:name w:val="hover46"/>
    <w:basedOn w:val="12"/>
    <w:qFormat/>
    <w:uiPriority w:val="0"/>
    <w:rPr>
      <w:color w:val="1A85D7"/>
    </w:rPr>
  </w:style>
  <w:style w:type="character" w:customStyle="1" w:styleId="41">
    <w:name w:val="hover47"/>
    <w:basedOn w:val="12"/>
    <w:qFormat/>
    <w:uiPriority w:val="0"/>
  </w:style>
  <w:style w:type="character" w:customStyle="1" w:styleId="42">
    <w:name w:val="active3"/>
    <w:basedOn w:val="12"/>
    <w:qFormat/>
    <w:uiPriority w:val="0"/>
    <w:rPr>
      <w:color w:val="4285F4"/>
      <w:bdr w:val="single" w:color="4285F4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6BF9C-58D7-46DD-B9FE-926E46EA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1400</Words>
  <Characters>1490</Characters>
  <Lines>7</Lines>
  <Paragraphs>2</Paragraphs>
  <TotalTime>53</TotalTime>
  <ScaleCrop>false</ScaleCrop>
  <LinksUpToDate>false</LinksUpToDate>
  <CharactersWithSpaces>1593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黄容容</cp:lastModifiedBy>
  <cp:lastPrinted>2021-11-23T03:10:00Z</cp:lastPrinted>
  <dcterms:modified xsi:type="dcterms:W3CDTF">2024-04-02T02:50:52Z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30F8CFFE22614D7E99A1BFA58BCC43E7_13</vt:lpwstr>
  </property>
</Properties>
</file>