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left"/>
        <w:rPr>
          <w:rFonts w:ascii="仿宋" w:hAnsi="仿宋" w:eastAsia="仿宋" w:cs="仿宋"/>
          <w:kern w:val="0"/>
          <w:sz w:val="32"/>
          <w:szCs w:val="32"/>
        </w:rPr>
      </w:pPr>
      <w:bookmarkStart w:id="0" w:name="_GoBack"/>
      <w:r>
        <w:rPr>
          <w:rFonts w:hint="eastAsia" w:ascii="仿宋" w:hAnsi="仿宋" w:eastAsia="仿宋" w:cs="仿宋"/>
          <w:kern w:val="0"/>
          <w:sz w:val="32"/>
          <w:szCs w:val="32"/>
        </w:rPr>
        <w:t>附件1：采购合同文本</w:t>
      </w:r>
    </w:p>
    <w:bookmarkEnd w:id="0"/>
    <w:p>
      <w:pPr>
        <w:pStyle w:val="2"/>
        <w:numPr>
          <w:ilvl w:val="255"/>
          <w:numId w:val="0"/>
        </w:numPr>
      </w:pPr>
    </w:p>
    <w:p>
      <w:pPr>
        <w:spacing w:line="360" w:lineRule="auto"/>
        <w:jc w:val="center"/>
        <w:rPr>
          <w:rFonts w:ascii="黑体" w:hAnsi="黑体" w:eastAsia="黑体" w:cs="黑体"/>
          <w:b/>
          <w:bCs/>
          <w:sz w:val="52"/>
          <w:szCs w:val="52"/>
        </w:rPr>
      </w:pPr>
      <w:r>
        <w:rPr>
          <w:rFonts w:hint="eastAsia" w:ascii="黑体" w:hAnsi="黑体" w:eastAsia="黑体" w:cs="黑体"/>
          <w:b/>
          <w:bCs/>
          <w:sz w:val="52"/>
          <w:szCs w:val="52"/>
        </w:rPr>
        <w:t>采 购 合 同</w:t>
      </w:r>
    </w:p>
    <w:p>
      <w:pPr>
        <w:pStyle w:val="65"/>
        <w:spacing w:line="360" w:lineRule="auto"/>
      </w:pPr>
    </w:p>
    <w:p>
      <w:pPr>
        <w:spacing w:line="360" w:lineRule="auto"/>
        <w:jc w:val="left"/>
        <w:rPr>
          <w:rFonts w:hAnsi="宋体"/>
          <w:b/>
          <w:sz w:val="28"/>
          <w:szCs w:val="30"/>
        </w:rPr>
      </w:pPr>
      <w:r>
        <w:rPr>
          <w:rFonts w:hint="eastAsia" w:hAnsi="宋体"/>
          <w:b/>
          <w:sz w:val="28"/>
          <w:szCs w:val="30"/>
        </w:rPr>
        <w:t>项目名称：拖挂式移动泵车</w:t>
      </w:r>
    </w:p>
    <w:p>
      <w:pPr>
        <w:widowControl/>
        <w:spacing w:line="360" w:lineRule="auto"/>
        <w:jc w:val="left"/>
        <w:rPr>
          <w:rFonts w:hAnsi="宋体"/>
          <w:b/>
          <w:sz w:val="28"/>
          <w:szCs w:val="30"/>
        </w:rPr>
      </w:pPr>
      <w:r>
        <w:rPr>
          <w:rFonts w:hint="eastAsia" w:hAnsi="宋体"/>
          <w:b/>
          <w:sz w:val="28"/>
          <w:szCs w:val="30"/>
        </w:rPr>
        <w:t>项目编号：BHSW2024CG-034</w:t>
      </w:r>
    </w:p>
    <w:p>
      <w:pPr>
        <w:spacing w:line="360" w:lineRule="auto"/>
        <w:jc w:val="center"/>
        <w:rPr>
          <w:rFonts w:ascii="黑体" w:hAnsi="黑体" w:cs="黑体"/>
          <w:b/>
          <w:bCs/>
          <w:sz w:val="44"/>
          <w:szCs w:val="44"/>
        </w:rPr>
      </w:pPr>
    </w:p>
    <w:p>
      <w:pPr>
        <w:pStyle w:val="13"/>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spacing w:line="360" w:lineRule="auto"/>
        <w:jc w:val="center"/>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pStyle w:val="12"/>
        <w:ind w:firstLine="883"/>
        <w:rPr>
          <w:rFonts w:ascii="黑体" w:hAnsi="黑体" w:eastAsia="黑体" w:cs="黑体"/>
          <w:b/>
          <w:bCs/>
          <w:sz w:val="44"/>
          <w:szCs w:val="44"/>
        </w:rPr>
      </w:pPr>
    </w:p>
    <w:p>
      <w:pPr>
        <w:pStyle w:val="12"/>
        <w:ind w:firstLine="0" w:firstLineChars="0"/>
        <w:rPr>
          <w:rFonts w:ascii="黑体" w:hAnsi="黑体" w:eastAsia="黑体" w:cs="黑体"/>
          <w:b/>
          <w:bCs/>
          <w:sz w:val="44"/>
          <w:szCs w:val="44"/>
        </w:rPr>
      </w:pPr>
    </w:p>
    <w:p>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福州市滨海水务发展有限公司</w:t>
      </w:r>
    </w:p>
    <w:p>
      <w:pPr>
        <w:spacing w:line="360" w:lineRule="auto"/>
        <w:jc w:val="center"/>
        <w:rPr>
          <w:rFonts w:ascii="仿宋" w:hAnsi="仿宋" w:eastAsia="仿宋"/>
          <w:sz w:val="30"/>
          <w:szCs w:val="30"/>
        </w:rPr>
        <w:sectPr>
          <w:headerReference r:id="rId3" w:type="default"/>
          <w:footerReference r:id="rId4" w:type="default"/>
          <w:pgSz w:w="11906" w:h="16838"/>
          <w:pgMar w:top="1417" w:right="1417" w:bottom="1417" w:left="1417" w:header="851" w:footer="992" w:gutter="0"/>
          <w:pgNumType w:start="0"/>
          <w:cols w:space="720" w:num="1"/>
          <w:docGrid w:type="lines" w:linePitch="312" w:charSpace="0"/>
        </w:sectPr>
      </w:pPr>
      <w:r>
        <w:rPr>
          <w:rFonts w:hint="eastAsia" w:ascii="黑体" w:hAnsi="黑体" w:eastAsia="黑体" w:cs="黑体"/>
          <w:sz w:val="30"/>
          <w:szCs w:val="30"/>
        </w:rPr>
        <w:t>2024年  月</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甲方（以下称甲方）：</w:t>
      </w:r>
      <w:r>
        <w:rPr>
          <w:rFonts w:hint="eastAsia" w:ascii="仿宋" w:hAnsi="仿宋" w:eastAsia="仿宋"/>
          <w:kern w:val="0"/>
          <w:sz w:val="24"/>
          <w:u w:val="single"/>
        </w:rPr>
        <w:t>福州市滨海水务发展有限公司</w:t>
      </w:r>
    </w:p>
    <w:p>
      <w:pPr>
        <w:widowControl/>
        <w:adjustRightInd w:val="0"/>
        <w:snapToGrid w:val="0"/>
        <w:spacing w:line="500" w:lineRule="exact"/>
        <w:ind w:firstLine="480" w:firstLineChars="200"/>
        <w:jc w:val="left"/>
        <w:rPr>
          <w:rFonts w:ascii="仿宋" w:hAnsi="仿宋" w:eastAsia="仿宋"/>
          <w:kern w:val="0"/>
          <w:sz w:val="24"/>
        </w:rPr>
      </w:pPr>
      <w:r>
        <w:rPr>
          <w:rFonts w:hint="eastAsia" w:ascii="仿宋" w:hAnsi="仿宋" w:eastAsia="仿宋"/>
          <w:kern w:val="0"/>
          <w:sz w:val="24"/>
          <w:lang w:eastAsia="ja-JP"/>
        </w:rPr>
        <w:t>乙方（以下称乙方）：</w:t>
      </w:r>
      <w:r>
        <w:rPr>
          <w:rFonts w:hint="eastAsia" w:ascii="仿宋" w:hAnsi="仿宋" w:eastAsia="仿宋"/>
          <w:kern w:val="0"/>
          <w:sz w:val="24"/>
          <w:u w:val="single"/>
        </w:rPr>
        <w:t xml:space="preserve">                          </w:t>
      </w:r>
    </w:p>
    <w:p>
      <w:pPr>
        <w:widowControl/>
        <w:adjustRightInd w:val="0"/>
        <w:snapToGrid w:val="0"/>
        <w:spacing w:before="156" w:beforeLines="50"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为明确买卖双方的权利和义务，保护双方合法权益，根据《中华人民共和国</w:t>
      </w:r>
      <w:r>
        <w:rPr>
          <w:rFonts w:hint="eastAsia" w:ascii="仿宋" w:hAnsi="仿宋" w:eastAsia="仿宋"/>
          <w:kern w:val="0"/>
          <w:sz w:val="24"/>
        </w:rPr>
        <w:t>民法典</w:t>
      </w:r>
      <w:r>
        <w:rPr>
          <w:rFonts w:hint="eastAsia" w:ascii="仿宋" w:hAnsi="仿宋" w:eastAsia="仿宋"/>
          <w:kern w:val="0"/>
          <w:sz w:val="24"/>
          <w:lang w:eastAsia="ja-JP"/>
        </w:rPr>
        <w:t>》等相关法律、法规的规定，经双方友好协商，现签订本合同，以期共同遵守。</w:t>
      </w:r>
    </w:p>
    <w:p>
      <w:pPr>
        <w:widowControl/>
        <w:numPr>
          <w:ilvl w:val="0"/>
          <w:numId w:val="2"/>
        </w:numPr>
        <w:adjustRightInd w:val="0"/>
        <w:snapToGrid w:val="0"/>
        <w:spacing w:line="500" w:lineRule="exact"/>
        <w:ind w:firstLine="480" w:firstLineChars="200"/>
        <w:jc w:val="left"/>
        <w:rPr>
          <w:rFonts w:ascii="仿宋" w:hAnsi="仿宋" w:eastAsia="仿宋"/>
          <w:kern w:val="0"/>
          <w:sz w:val="24"/>
          <w:lang w:eastAsia="ja-JP"/>
        </w:rPr>
      </w:pPr>
      <w:r>
        <w:rPr>
          <w:rFonts w:hint="eastAsia" w:ascii="仿宋" w:hAnsi="仿宋" w:eastAsia="仿宋"/>
          <w:kern w:val="0"/>
          <w:sz w:val="24"/>
          <w:lang w:eastAsia="ja-JP"/>
        </w:rPr>
        <w:t>产品清单及价格明细</w:t>
      </w:r>
    </w:p>
    <w:tbl>
      <w:tblPr>
        <w:tblStyle w:val="22"/>
        <w:tblpPr w:leftFromText="180" w:rightFromText="180" w:vertAnchor="text" w:horzAnchor="page" w:tblpX="1133" w:tblpY="90"/>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690"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数量（台）</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ascii="仿宋" w:hAnsi="仿宋" w:eastAsia="仿宋" w:cs="仿宋"/>
                <w:sz w:val="24"/>
              </w:rPr>
              <w:t>拖挂式移动泵车</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exact"/>
              <w:jc w:val="center"/>
              <w:textAlignment w:val="center"/>
              <w:rPr>
                <w:rFonts w:ascii="仿宋" w:hAnsi="仿宋" w:eastAsia="仿宋" w:cs="仿宋"/>
                <w:sz w:val="22"/>
                <w:szCs w:val="22"/>
              </w:rPr>
            </w:pPr>
            <w:r>
              <w:rPr>
                <w:rFonts w:hint="eastAsia" w:ascii="仿宋" w:hAnsi="仿宋" w:eastAsia="仿宋" w:cs="仿宋"/>
                <w:sz w:val="22"/>
                <w:szCs w:val="22"/>
              </w:rPr>
              <w:t>详见技术标准和要求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1</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blPrEx>
          <w:tblCellMar>
            <w:top w:w="0" w:type="dxa"/>
            <w:left w:w="0" w:type="dxa"/>
            <w:bottom w:w="0" w:type="dxa"/>
            <w:right w:w="0" w:type="dxa"/>
          </w:tblCellMar>
        </w:tblPrEx>
        <w:trPr>
          <w:trHeight w:val="1385" w:hRule="atLeast"/>
          <w:jc w:val="center"/>
        </w:trPr>
        <w:tc>
          <w:tcPr>
            <w:tcW w:w="9234" w:type="dxa"/>
            <w:gridSpan w:val="6"/>
            <w:tcBorders>
              <w:left w:val="single" w:color="auto" w:sz="4" w:space="0"/>
              <w:bottom w:val="single" w:color="auto" w:sz="4" w:space="0"/>
              <w:right w:val="single" w:color="auto" w:sz="4" w:space="0"/>
            </w:tcBorders>
          </w:tcPr>
          <w:p>
            <w:pPr>
              <w:pStyle w:val="5"/>
              <w:widowControl/>
              <w:spacing w:line="360" w:lineRule="auto"/>
              <w:ind w:firstLine="566" w:firstLineChars="236"/>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5"/>
              <w:widowControl/>
              <w:spacing w:line="360" w:lineRule="auto"/>
              <w:ind w:firstLine="566" w:firstLineChars="236"/>
              <w:rPr>
                <w:rFonts w:ascii="仿宋" w:hAnsi="仿宋" w:eastAsia="仿宋" w:cs="仿宋"/>
                <w:kern w:val="0"/>
                <w:sz w:val="24"/>
              </w:rPr>
            </w:pPr>
            <w:r>
              <w:rPr>
                <w:rFonts w:hint="eastAsia" w:ascii="仿宋" w:hAnsi="仿宋" w:eastAsia="仿宋" w:cs="仿宋"/>
                <w:kern w:val="0"/>
                <w:sz w:val="24"/>
              </w:rPr>
              <w:t>合同金额已包含货物所涉及的有关项目的所有费用,包含货物的制造、包装、运输、装卸、保险、安装、调试、验收、专利、税费、售后服务。还要考虑其他乙方应缴的费用，合同中可能出现的索赔和变更以及可合理推断的责任和义务。</w:t>
            </w:r>
          </w:p>
        </w:tc>
      </w:tr>
    </w:tbl>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供交货期及交货地点</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交付期限：</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乙方应于合同签订后7个工作日将设备交货至甲方指定地点。</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交付地点：具体以甲方指定为准。</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乙方在发运前应提前将发货批次、数量及到达时间，以传真形式通知甲方，以便甲方提供配合。</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乙方应派技术人员到现场安装、调试至正常工作，并对甲方技术人员进行现场培训指导直至能独立操作、排除简单故障。</w:t>
      </w:r>
    </w:p>
    <w:p>
      <w:pPr>
        <w:widowControl/>
        <w:numPr>
          <w:ilvl w:val="3"/>
          <w:numId w:val="2"/>
        </w:numPr>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货交甲方并经验收确认前的全部风险和相关费用均由乙方承担。</w:t>
      </w:r>
    </w:p>
    <w:p>
      <w:pPr>
        <w:widowControl/>
        <w:numPr>
          <w:ilvl w:val="0"/>
          <w:numId w:val="2"/>
        </w:numPr>
        <w:adjustRightInd w:val="0"/>
        <w:snapToGrid w:val="0"/>
        <w:spacing w:line="480" w:lineRule="exact"/>
        <w:ind w:firstLine="480" w:firstLineChars="200"/>
        <w:jc w:val="left"/>
        <w:rPr>
          <w:rFonts w:ascii="仿宋" w:hAnsi="仿宋" w:eastAsia="仿宋"/>
          <w:kern w:val="0"/>
          <w:sz w:val="24"/>
        </w:rPr>
      </w:pPr>
      <w:r>
        <w:rPr>
          <w:rFonts w:hint="eastAsia" w:ascii="仿宋" w:hAnsi="仿宋" w:eastAsia="仿宋"/>
          <w:kern w:val="0"/>
          <w:sz w:val="24"/>
        </w:rPr>
        <w:t>运输及包装</w:t>
      </w:r>
    </w:p>
    <w:p>
      <w:pPr>
        <w:widowControl/>
        <w:numPr>
          <w:ilvl w:val="3"/>
          <w:numId w:val="0"/>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1．乙方应负责将产品设备运到目的地，提供的设备应具有完善的外包装，适合海运、吊装，能防止撞击、潮气。</w:t>
      </w:r>
    </w:p>
    <w:p>
      <w:pPr>
        <w:widowControl/>
        <w:numPr>
          <w:ilvl w:val="3"/>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2．运输期间，产品设备和部件应包装完好以免损坏或泄漏。包装箱外面应标明净重、内容，装箱及卸载的正常步骤。应该使送至现场、检查损坏程度、卸载和存放的工作尽可能地简单。如产品设备和部件存在质量问题，乙方应按甲方要求的时限完成更换。</w:t>
      </w:r>
    </w:p>
    <w:p>
      <w:pPr>
        <w:widowControl/>
        <w:numPr>
          <w:ilvl w:val="3"/>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3．乙方应负责产品设备的卸货。乙方应在主要设备到货之前向甲方代表提交完整的卸货步骤及保护措施以供批准。甲方代表的批准并不能免除乙方按照合同规定应负的责任。</w:t>
      </w:r>
    </w:p>
    <w:p>
      <w:pPr>
        <w:widowControl/>
        <w:numPr>
          <w:ilvl w:val="3"/>
          <w:numId w:val="0"/>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4．</w:t>
      </w:r>
      <w:r>
        <w:rPr>
          <w:rFonts w:hint="eastAsia" w:ascii="仿宋" w:hAnsi="仿宋" w:eastAsia="仿宋" w:cs="仿宋"/>
          <w:sz w:val="24"/>
        </w:rPr>
        <w:t>乙方应确保所有运至现场的设备和部件妥善放置、安装。运输、卸货和安装的过程中应保证设备有防雨、防潮等保护措施。</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货物验收标准</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按照</w:t>
      </w:r>
      <w:r>
        <w:rPr>
          <w:rFonts w:hint="eastAsia" w:ascii="仿宋" w:hAnsi="仿宋" w:eastAsia="仿宋" w:cs="仿宋"/>
          <w:kern w:val="0"/>
          <w:sz w:val="24"/>
        </w:rPr>
        <w:t>询价函</w:t>
      </w:r>
      <w:r>
        <w:rPr>
          <w:rFonts w:hint="eastAsia" w:ascii="仿宋" w:hAnsi="仿宋" w:eastAsia="仿宋" w:cs="仿宋"/>
          <w:sz w:val="24"/>
        </w:rPr>
        <w:t>中明确的技术标准和技术要求执行。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与合同货物有关的最新版本的中华人民共和国国家标准和部颁标准执行。</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乙方的报价文件，经甲方确认后，将作为对货物的验收依据之一。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乙方在澄清报价文件时做出的承诺，经甲方确认后，将作为对货物的验收依据之一。</w:t>
      </w:r>
    </w:p>
    <w:p>
      <w:pPr>
        <w:widowControl/>
        <w:numPr>
          <w:ilvl w:val="3"/>
          <w:numId w:val="3"/>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提供的货物必须有检验报告和合格证。</w:t>
      </w:r>
    </w:p>
    <w:p>
      <w:pPr>
        <w:widowControl/>
        <w:numPr>
          <w:ilvl w:val="255"/>
          <w:numId w:val="0"/>
        </w:numPr>
        <w:topLinePunct/>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以上验收标准不一的，以较高标准为准。</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验收方式</w:t>
      </w:r>
    </w:p>
    <w:p>
      <w:pPr>
        <w:pStyle w:val="13"/>
        <w:topLinePunct/>
        <w:spacing w:line="480" w:lineRule="exact"/>
        <w:ind w:firstLine="480" w:firstLineChars="200"/>
        <w:rPr>
          <w:rFonts w:ascii="仿宋" w:hAnsi="仿宋" w:eastAsia="仿宋" w:cs="仿宋"/>
          <w:kern w:val="0"/>
          <w:sz w:val="24"/>
          <w:szCs w:val="24"/>
        </w:rPr>
      </w:pPr>
      <w:r>
        <w:rPr>
          <w:rFonts w:hint="eastAsia" w:ascii="仿宋" w:hAnsi="仿宋" w:eastAsia="仿宋" w:cs="仿宋"/>
          <w:kern w:val="0"/>
          <w:sz w:val="24"/>
          <w:szCs w:val="24"/>
        </w:rPr>
        <w:t>货物到达交货地点后，乙方及时</w:t>
      </w:r>
      <w:r>
        <w:rPr>
          <w:rFonts w:hint="eastAsia" w:ascii="仿宋" w:hAnsi="仿宋" w:eastAsia="仿宋" w:cs="仿宋"/>
          <w:kern w:val="0"/>
          <w:sz w:val="24"/>
          <w:szCs w:val="24"/>
          <w:lang w:val="en-US" w:eastAsia="zh-CN"/>
        </w:rPr>
        <w:t>对货物进行安装及调试，调试完成后</w:t>
      </w:r>
      <w:r>
        <w:rPr>
          <w:rFonts w:hint="eastAsia" w:ascii="仿宋" w:hAnsi="仿宋" w:eastAsia="仿宋" w:cs="仿宋"/>
          <w:kern w:val="0"/>
          <w:sz w:val="24"/>
          <w:szCs w:val="24"/>
        </w:rPr>
        <w:t>通知甲方进行验收。甲方对货物外观、数量、品种、货物有关资料等进行确认，如果甲方发现货物外观、数量、品种、货物有关资料等存在任何问题或瑕疵、残损，甲方有权拒收。乙方需对不符合条件的货物进行及时的换货</w:t>
      </w:r>
      <w:r>
        <w:rPr>
          <w:rFonts w:hint="eastAsia" w:ascii="仿宋" w:hAnsi="仿宋" w:eastAsia="仿宋" w:cs="仿宋"/>
          <w:kern w:val="0"/>
          <w:sz w:val="24"/>
          <w:szCs w:val="24"/>
          <w:lang w:eastAsia="zh-CN"/>
        </w:rPr>
        <w:t>、</w:t>
      </w:r>
      <w:r>
        <w:rPr>
          <w:rFonts w:hint="eastAsia" w:ascii="仿宋" w:hAnsi="仿宋" w:eastAsia="仿宋" w:cs="仿宋"/>
          <w:kern w:val="0"/>
          <w:sz w:val="24"/>
          <w:szCs w:val="24"/>
          <w:lang w:val="en-US" w:eastAsia="zh-CN"/>
        </w:rPr>
        <w:t>安装、调试</w:t>
      </w:r>
      <w:r>
        <w:rPr>
          <w:rFonts w:hint="eastAsia" w:ascii="仿宋" w:hAnsi="仿宋" w:eastAsia="仿宋" w:cs="仿宋"/>
          <w:kern w:val="0"/>
          <w:sz w:val="24"/>
          <w:szCs w:val="24"/>
        </w:rPr>
        <w:t>，并再次进行验收，直至通过验收。甲方现场负责人确认后签署货物接收单、验收单。</w:t>
      </w:r>
    </w:p>
    <w:p>
      <w:pPr>
        <w:widowControl/>
        <w:numPr>
          <w:ilvl w:val="0"/>
          <w:numId w:val="2"/>
        </w:numPr>
        <w:topLinePunct/>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合同价款的支付</w:t>
      </w:r>
    </w:p>
    <w:p>
      <w:pPr>
        <w:keepLines/>
        <w:widowControl/>
        <w:numPr>
          <w:ilvl w:val="3"/>
          <w:numId w:val="4"/>
        </w:numPr>
        <w:topLinePunct/>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rPr>
        <w:t>付款节点如下</w:t>
      </w:r>
      <w:r>
        <w:rPr>
          <w:rFonts w:hint="eastAsia" w:ascii="仿宋" w:hAnsi="仿宋" w:eastAsia="仿宋" w:cs="仿宋"/>
          <w:sz w:val="24"/>
          <w:lang w:eastAsia="ja-JP"/>
        </w:rPr>
        <w:t>。</w:t>
      </w:r>
    </w:p>
    <w:p>
      <w:pPr>
        <w:keepLines/>
        <w:widowControl/>
        <w:adjustRightInd w:val="0"/>
        <w:snapToGrid w:val="0"/>
        <w:spacing w:line="480" w:lineRule="exact"/>
        <w:ind w:left="210" w:leftChars="100" w:firstLine="480" w:firstLineChars="200"/>
        <w:jc w:val="left"/>
        <w:rPr>
          <w:rFonts w:ascii="仿宋" w:hAnsi="仿宋" w:eastAsia="仿宋" w:cs="仿宋"/>
          <w:kern w:val="0"/>
          <w:sz w:val="24"/>
        </w:rPr>
      </w:pPr>
      <w:r>
        <w:rPr>
          <w:rFonts w:hint="eastAsia" w:ascii="仿宋" w:hAnsi="仿宋" w:eastAsia="仿宋" w:cs="仿宋"/>
          <w:kern w:val="0"/>
          <w:sz w:val="24"/>
        </w:rPr>
        <w:t>签订合同后，乙方按照甲方需求发货，到货完成</w:t>
      </w:r>
      <w:r>
        <w:rPr>
          <w:rFonts w:hint="eastAsia" w:ascii="仿宋" w:hAnsi="仿宋" w:eastAsia="仿宋" w:cs="仿宋"/>
          <w:kern w:val="0"/>
          <w:sz w:val="24"/>
          <w:lang w:val="en-US" w:eastAsia="zh-CN"/>
        </w:rPr>
        <w:t>安装、调试后通过</w:t>
      </w:r>
      <w:r>
        <w:rPr>
          <w:rFonts w:hint="eastAsia" w:ascii="仿宋" w:hAnsi="仿宋" w:eastAsia="仿宋" w:cs="仿宋"/>
          <w:kern w:val="0"/>
          <w:sz w:val="24"/>
        </w:rPr>
        <w:t>验收</w:t>
      </w:r>
      <w:r>
        <w:rPr>
          <w:rFonts w:hint="eastAsia" w:ascii="仿宋" w:hAnsi="仿宋" w:eastAsia="仿宋" w:cs="仿宋"/>
          <w:kern w:val="0"/>
          <w:sz w:val="24"/>
          <w:lang w:bidi="ar"/>
        </w:rPr>
        <w:t>且提供符合要求的付款申请材料后</w:t>
      </w:r>
      <w:r>
        <w:rPr>
          <w:rFonts w:hint="eastAsia" w:ascii="仿宋" w:hAnsi="仿宋" w:eastAsia="仿宋" w:cs="仿宋"/>
          <w:kern w:val="0"/>
          <w:sz w:val="24"/>
        </w:rPr>
        <w:t>，甲方于30个日历日内向乙方支付至合同价款的95%，剩余5%货款作为质保。</w:t>
      </w:r>
    </w:p>
    <w:p>
      <w:pPr>
        <w:keepLines/>
        <w:widowControl/>
        <w:adjustRightInd w:val="0"/>
        <w:snapToGrid w:val="0"/>
        <w:spacing w:line="480" w:lineRule="exact"/>
        <w:ind w:left="210" w:leftChars="100"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质保期满后</w:t>
      </w:r>
      <w:r>
        <w:rPr>
          <w:rFonts w:hint="eastAsia" w:ascii="仿宋" w:hAnsi="仿宋" w:eastAsia="仿宋" w:cs="仿宋"/>
          <w:kern w:val="0"/>
          <w:sz w:val="24"/>
        </w:rPr>
        <w:t>三</w:t>
      </w:r>
      <w:r>
        <w:rPr>
          <w:rFonts w:hint="eastAsia" w:ascii="仿宋" w:hAnsi="仿宋" w:eastAsia="仿宋" w:cs="仿宋"/>
          <w:kern w:val="0"/>
          <w:sz w:val="24"/>
          <w:lang w:eastAsia="ja-JP"/>
        </w:rPr>
        <w:t>年内乙方仍未向甲方申请退还质保金的，已付款视为结算款，即乙方自愿放弃质保金。甲方付款</w:t>
      </w:r>
      <w:r>
        <w:rPr>
          <w:rFonts w:hint="eastAsia" w:ascii="仿宋" w:hAnsi="仿宋" w:eastAsia="仿宋" w:cs="仿宋"/>
          <w:kern w:val="0"/>
          <w:sz w:val="24"/>
        </w:rPr>
        <w:t>（95%）</w:t>
      </w:r>
      <w:r>
        <w:rPr>
          <w:rFonts w:hint="eastAsia" w:ascii="仿宋" w:hAnsi="仿宋" w:eastAsia="仿宋" w:cs="仿宋"/>
          <w:kern w:val="0"/>
          <w:sz w:val="24"/>
          <w:lang w:eastAsia="ja-JP"/>
        </w:rPr>
        <w:t>前乙方应提供</w:t>
      </w:r>
      <w:r>
        <w:rPr>
          <w:rFonts w:hint="eastAsia" w:ascii="仿宋" w:hAnsi="仿宋" w:eastAsia="仿宋" w:cs="仿宋"/>
          <w:kern w:val="0"/>
          <w:sz w:val="24"/>
        </w:rPr>
        <w:t>全</w:t>
      </w:r>
      <w:r>
        <w:rPr>
          <w:rFonts w:hint="eastAsia" w:ascii="仿宋" w:hAnsi="仿宋" w:eastAsia="仿宋" w:cs="仿宋"/>
          <w:kern w:val="0"/>
          <w:sz w:val="24"/>
          <w:lang w:eastAsia="ja-JP"/>
        </w:rPr>
        <w:t>额的增值税专用发票，否则甲方有权延迟付款并不承担违约责任。</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本合同执行固定不变价格，在合同履行期间乙方不得以任何理由予以变更。</w:t>
      </w:r>
    </w:p>
    <w:p>
      <w:pPr>
        <w:widowControl/>
        <w:numPr>
          <w:ilvl w:val="3"/>
          <w:numId w:val="4"/>
        </w:numPr>
        <w:adjustRightInd w:val="0"/>
        <w:snapToGrid w:val="0"/>
        <w:spacing w:line="480" w:lineRule="exact"/>
        <w:ind w:firstLine="480" w:firstLineChars="200"/>
        <w:jc w:val="left"/>
        <w:rPr>
          <w:rFonts w:ascii="仿宋" w:hAnsi="仿宋" w:eastAsia="仿宋" w:cs="仿宋"/>
          <w:sz w:val="24"/>
        </w:rPr>
      </w:pPr>
      <w:r>
        <w:rPr>
          <w:rFonts w:hint="eastAsia" w:ascii="仿宋" w:hAnsi="仿宋" w:eastAsia="仿宋" w:cs="仿宋"/>
          <w:sz w:val="24"/>
        </w:rPr>
        <w:t>甲方将采用下列付款方式中的一种进行付款：</w:t>
      </w:r>
    </w:p>
    <w:p>
      <w:pPr>
        <w:widowControl/>
        <w:numPr>
          <w:ilvl w:val="255"/>
          <w:numId w:val="0"/>
        </w:numPr>
        <w:adjustRightInd w:val="0"/>
        <w:snapToGrid w:val="0"/>
        <w:spacing w:line="480" w:lineRule="exact"/>
        <w:ind w:firstLine="420" w:firstLineChars="200"/>
        <w:jc w:val="left"/>
        <w:rPr>
          <w:rFonts w:ascii="仿宋" w:hAnsi="仿宋" w:eastAsia="仿宋" w:cs="仿宋"/>
        </w:rPr>
      </w:pPr>
      <w:r>
        <w:rPr>
          <w:rFonts w:hint="eastAsia" w:ascii="仿宋" w:hAnsi="仿宋" w:eastAsia="仿宋" w:cs="仿宋"/>
        </w:rPr>
        <w:t>A.转账付款（支票、网银、电汇）；B.银行汇票。</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乙方承诺并确认：</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（1）本合同签署的乙方公司名称与发票开具单位及收款单位一致，乙方不得以任何理由在合同执行过程中要求调整发票开具单位或收款单位。</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（2）乙方提供增值税专用发票必须与甲方办理发票交接手续，无甲方经办人员签认，视为乙方未提供增值税专用发票，如发生增值税专用发票丢失，由乙方承担责任。</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（3）如因乙方开具的发票不合法或不能认证抵扣进项税额的，乙方同意承担由此给甲方造成的一切损失（包括但不限于税款、滞纳金、行政罚款及相关损失等）。</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4）乙方账户必须是合同约定的在主管国税机关备案的账户，若账户变更应及时通知甲方，并签订合同变更或补充合同；如乙方随意改变账户，甲方将拒付货款，由此引起的延期付款责任及相关的损失由乙方承担。</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5）如果甲方丢失增值税专用发票联和抵扣联，如已认证相符，乙方应向甲方提供专用发票记账联复印件及主管税务机关出具的《丢失增值税专用发票已报税证明单》；如未经认证，乙方须提供相应专用发票记账联复印件供甲方认证。</w:t>
      </w:r>
    </w:p>
    <w:p>
      <w:pPr>
        <w:spacing w:line="480" w:lineRule="exact"/>
        <w:ind w:firstLine="566" w:firstLineChars="236"/>
        <w:rPr>
          <w:rFonts w:ascii="仿宋" w:hAnsi="仿宋" w:eastAsia="仿宋" w:cs="仿宋"/>
          <w:kern w:val="0"/>
          <w:sz w:val="24"/>
          <w:lang w:eastAsia="ja-JP"/>
        </w:rPr>
      </w:pPr>
      <w:r>
        <w:rPr>
          <w:rFonts w:hint="eastAsia" w:ascii="仿宋" w:hAnsi="仿宋" w:eastAsia="仿宋" w:cs="仿宋"/>
          <w:kern w:val="0"/>
          <w:sz w:val="24"/>
          <w:lang w:eastAsia="ja-JP"/>
        </w:rPr>
        <w:t>（6）增值税专用发票必须保持票面干净、整齐, 发票的正反两面均不能留下任何脏、乱及签字的痕迹。</w:t>
      </w:r>
    </w:p>
    <w:p>
      <w:pPr>
        <w:widowControl/>
        <w:numPr>
          <w:ilvl w:val="3"/>
          <w:numId w:val="4"/>
        </w:numPr>
        <w:adjustRightInd w:val="0"/>
        <w:snapToGrid w:val="0"/>
        <w:spacing w:line="480" w:lineRule="exact"/>
        <w:ind w:firstLine="480" w:firstLineChars="200"/>
        <w:jc w:val="left"/>
        <w:rPr>
          <w:rFonts w:ascii="仿宋" w:hAnsi="仿宋" w:eastAsia="仿宋" w:cs="仿宋"/>
          <w:sz w:val="24"/>
          <w:lang w:eastAsia="ja-JP"/>
        </w:rPr>
      </w:pPr>
      <w:r>
        <w:rPr>
          <w:rFonts w:hint="eastAsia" w:ascii="仿宋" w:hAnsi="仿宋" w:eastAsia="仿宋" w:cs="仿宋"/>
          <w:sz w:val="24"/>
          <w:lang w:eastAsia="ja-JP"/>
        </w:rPr>
        <w:t>乙方指定的收款账户如下并保证其真实有效：</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乙方指定收款账户的开户行名称：</w:t>
      </w:r>
      <w:r>
        <w:rPr>
          <w:rFonts w:hint="eastAsia" w:ascii="仿宋" w:hAnsi="仿宋" w:eastAsia="仿宋" w:cs="仿宋"/>
          <w:kern w:val="0"/>
          <w:sz w:val="24"/>
          <w:u w:val="single"/>
        </w:rPr>
        <w:t xml:space="preserve">                                </w:t>
      </w:r>
    </w:p>
    <w:p>
      <w:pPr>
        <w:widowControl/>
        <w:tabs>
          <w:tab w:val="left" w:pos="921"/>
        </w:tabs>
        <w:adjustRightInd w:val="0"/>
        <w:snapToGrid w:val="0"/>
        <w:spacing w:line="480" w:lineRule="exact"/>
        <w:ind w:firstLine="480" w:firstLineChars="200"/>
        <w:jc w:val="left"/>
        <w:rPr>
          <w:rFonts w:ascii="仿宋" w:hAnsi="仿宋" w:eastAsia="仿宋" w:cs="仿宋"/>
          <w:kern w:val="0"/>
          <w:sz w:val="24"/>
          <w:u w:val="single"/>
        </w:rPr>
      </w:pPr>
      <w:r>
        <w:rPr>
          <w:rFonts w:hint="eastAsia" w:ascii="仿宋" w:hAnsi="仿宋" w:eastAsia="仿宋" w:cs="仿宋"/>
          <w:kern w:val="0"/>
          <w:sz w:val="24"/>
          <w:lang w:eastAsia="ja-JP"/>
        </w:rPr>
        <w:t>乙方指定收款账户的开户行账号：</w:t>
      </w:r>
      <w:r>
        <w:rPr>
          <w:rFonts w:hint="eastAsia" w:ascii="仿宋" w:hAnsi="仿宋" w:eastAsia="仿宋" w:cs="仿宋"/>
          <w:kern w:val="0"/>
          <w:sz w:val="24"/>
          <w:u w:val="single"/>
        </w:rPr>
        <w:t xml:space="preserve">                                </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质保条款</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本项目设备质保期为</w:t>
      </w:r>
      <w:r>
        <w:rPr>
          <w:rFonts w:hint="eastAsia" w:ascii="仿宋" w:hAnsi="仿宋" w:eastAsia="仿宋" w:cs="仿宋"/>
          <w:kern w:val="0"/>
          <w:sz w:val="24"/>
        </w:rPr>
        <w:t>2</w:t>
      </w:r>
      <w:r>
        <w:rPr>
          <w:rFonts w:hint="eastAsia" w:ascii="仿宋" w:hAnsi="仿宋" w:eastAsia="仿宋" w:cs="仿宋"/>
          <w:kern w:val="0"/>
          <w:sz w:val="24"/>
          <w:lang w:eastAsia="ja-JP"/>
        </w:rPr>
        <w:t>年免费保修（乙方承诺优于此的以乙方承诺为准），保修期自验收合格甲方代表签字之日起计算。</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在质保期内，乙方须负责货物的保修工作，非因操作不当造成的故障由乙方负责包修、包换</w:t>
      </w:r>
      <w:r>
        <w:rPr>
          <w:rFonts w:hint="eastAsia" w:ascii="仿宋" w:hAnsi="仿宋" w:eastAsia="仿宋" w:cs="仿宋"/>
          <w:kern w:val="0"/>
          <w:sz w:val="24"/>
        </w:rPr>
        <w:t>（不可抗力和人为因素除外）</w:t>
      </w:r>
      <w:r>
        <w:rPr>
          <w:rFonts w:hint="eastAsia" w:ascii="仿宋" w:hAnsi="仿宋" w:eastAsia="仿宋" w:cs="仿宋"/>
          <w:kern w:val="0"/>
          <w:sz w:val="24"/>
          <w:lang w:eastAsia="ja-JP"/>
        </w:rPr>
        <w:t>，产生的所有费用由乙方负责；若乙方对质量问题存在异议，也应当先向甲方履行质保服务义务，经双方认可的检定中心检验后，若认定货物不存在质量问题，则甲方应当向乙方支付成本费。</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乙方维修所更换的零部件必须是原厂的产品。</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在质保期内设备运行发生故障，乙方应在接到甲方故障通知后委派专业技术人员在</w:t>
      </w:r>
      <w:r>
        <w:rPr>
          <w:rFonts w:hint="eastAsia" w:ascii="仿宋" w:hAnsi="仿宋" w:eastAsia="仿宋" w:cs="仿宋"/>
          <w:kern w:val="0"/>
          <w:sz w:val="24"/>
        </w:rPr>
        <w:t>24</w:t>
      </w:r>
      <w:r>
        <w:rPr>
          <w:rFonts w:hint="eastAsia" w:ascii="仿宋" w:hAnsi="仿宋" w:eastAsia="仿宋" w:cs="仿宋"/>
          <w:kern w:val="0"/>
          <w:sz w:val="24"/>
          <w:lang w:eastAsia="ja-JP"/>
        </w:rPr>
        <w:t>小时内到现场免费提供咨询、维修和更换零部件等服务，并及时填写维修报告（包括故障原因、处理情况及甲方意见等）报甲方备案，若48小时内无法排除故障，则应先提供同档次备用机供甲方使用，发生一切费用由乙方承担；若乙方未按前述要求提供质保服务，则甲方有权另请他人维修，维修费用及全部损失由乙方承担，甲方有权从质保金中直接扣除。</w:t>
      </w:r>
    </w:p>
    <w:p>
      <w:pPr>
        <w:widowControl/>
        <w:numPr>
          <w:ilvl w:val="3"/>
          <w:numId w:val="5"/>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若货物在1年内出现3次及以上产品质量问题的，甲方有权要求乙方支付合同总金额5%的违约金且乙方需无条件的更换质量问题的产品，所产生的费用和责任由乙方承担。</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rPr>
        <w:t>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未得到甲方许可，乙方擅自将本合同货物或服务分包、转包给其他单位的，甲方有权单方解除本合同并没收履约担保，乙方还应当向甲方支付合同总金额10%作为违约金，如不足以弥补甲方损失的还应赔偿甲方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甲方未按合同规定的时间和要求承付货款，乙方有权追究甲方违约责任。但因第三方单位延迟支付款项导致甲方向乙方延迟支付的，甲方无须承担违约责任。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甲方无正当理由不接收或不及时验收的，乙方有权按国家有关法规追究甲方违约责任。</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乙方延迟交付货物或未按合同期限完成设备安装并验收合格的，每延迟一日按合同总金额的2‰向甲方支付违约金。非因甲方原因和不可抗力原因乙方交付货物并通过验收的日期晚于</w:t>
      </w:r>
      <w:r>
        <w:rPr>
          <w:rFonts w:hint="eastAsia" w:ascii="仿宋" w:hAnsi="仿宋" w:eastAsia="仿宋" w:cs="仿宋"/>
          <w:kern w:val="0"/>
          <w:sz w:val="24"/>
        </w:rPr>
        <w:t>合同约定时限</w:t>
      </w:r>
      <w:r>
        <w:rPr>
          <w:rFonts w:hint="eastAsia" w:ascii="仿宋" w:hAnsi="仿宋" w:eastAsia="仿宋" w:cs="仿宋"/>
          <w:kern w:val="0"/>
          <w:sz w:val="24"/>
          <w:lang w:eastAsia="ja-JP"/>
        </w:rPr>
        <w:t>的，甲方有权解除合同没收履约担保，并要求乙方支付合同总金额10%的违约金，如不足以弥补甲方损失的还应赔偿甲方损失。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货物存在质量问题或存在其它不符合合同要求的情形的，甲方有权选择换货或解除合同。</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(1)甲方选择换货的，乙方应当给予更换，并支付合同总金额5%的违约金。由此造成迟延交付的，按照本合同规定继续承担违约责任。更换的产品还不能检验合格的，甲方有权要求解除合同没收履约担保，乙方应再支付合同总金额5%的违约金，并承担检验测试费、运输费、人工费等由此产生的一切费用以及给甲方造成的全部经济损失。</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(2)甲方选择解除合同没收履约担保的，乙方应支付合同总金额10%的违约金，并承担检验测试费、运输费、人工费等由此产生的一切费用以及给甲方造成的全部经济损失。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在质保期内未及时履行质保责任的，甲方有权自行委托他人进行维修等服务，费用从质保金中扣除并按每次2000元的标准扣取违约金。同时，质保期内发生质量问题的货物，其质保期从更换、修复且重新验收合格之日起重新计算。</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签订本合同之后，乙方在合同履行期间无正当理由单方解除合同的，或明确表示不履约或以其行为表明不再履行合同的，视为乙方严重违约，甲方有权单方终止合同并没收履约担保，同时乙方应按本合同总价的10%向甲方支付违约金，并赔偿因此给甲方造成的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因乙方原因发生质量事故、重大或特大安全事故、死亡事故等，造成的经济损失、财产人员损伤及行政责任、刑事责任、民事责任由乙方根据有关法律法规规章规定全权承担，甲方报建设行政主管部门处理。同时，甲方有权单方终止合同并没收履约保证金，并要求乙方按本合同总价款的20%向甲方支付违约金，给甲方造成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由于乙方原因导致发票无法抵扣税率的，甲方有权按发票金额的相应税率要求乙方给予经济补偿。经济补偿不足以弥补甲方损失的，乙方应赔偿甲方实际损失。</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违约金的设定已充分考虑合同交易目的、双方预期利益等综合因素，双方对违约责任的合理性有充分的认知和理解，同意在违约时按合同约定承担相应后果，并在发生纠纷诉请法院/仲裁机构解决争议时，放弃请求法院/仲裁机构调减违约金金额</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上述违约金、赔偿金等费用甲方有权从未付货款或者乙方的履约担保中直接扣除。</w:t>
      </w:r>
    </w:p>
    <w:p>
      <w:pPr>
        <w:widowControl/>
        <w:numPr>
          <w:ilvl w:val="3"/>
          <w:numId w:val="6"/>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其它违约情况按《中华人民共和国民法典》有关条款规定处理。</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通知送达</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合同各方就履行合同及发行纠纷时，涉及各类通知、协议等文件以及法院、仲裁等司法机关各阶段审理或强制执行涉及的法律文书的送达地址如下：</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 xml:space="preserve">（1）发给甲方的通知地址： </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收件人：</w:t>
      </w:r>
      <w:r>
        <w:rPr>
          <w:rFonts w:hint="eastAsia" w:ascii="仿宋" w:hAnsi="仿宋" w:eastAsia="仿宋" w:cs="仿宋"/>
          <w:kern w:val="0"/>
          <w:sz w:val="24"/>
        </w:rPr>
        <w:t>姜工</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收件地址：</w:t>
      </w:r>
      <w:r>
        <w:rPr>
          <w:rFonts w:hint="eastAsia" w:ascii="仿宋" w:hAnsi="仿宋" w:eastAsia="仿宋" w:cs="仿宋"/>
          <w:kern w:val="0"/>
          <w:sz w:val="24"/>
        </w:rPr>
        <w:t>福州市长乐区文武砂街道漳江路公交首末站3楼市场合约部</w:t>
      </w:r>
    </w:p>
    <w:p>
      <w:pPr>
        <w:widowControl/>
        <w:adjustRightInd w:val="0"/>
        <w:snapToGrid w:val="0"/>
        <w:spacing w:line="480" w:lineRule="exact"/>
        <w:ind w:left="420" w:leftChars="200"/>
        <w:jc w:val="left"/>
        <w:rPr>
          <w:rFonts w:ascii="仿宋" w:hAnsi="仿宋" w:eastAsia="仿宋" w:cs="仿宋"/>
          <w:kern w:val="0"/>
          <w:sz w:val="24"/>
        </w:rPr>
      </w:pPr>
      <w:r>
        <w:rPr>
          <w:rFonts w:hint="eastAsia" w:ascii="仿宋" w:hAnsi="仿宋" w:eastAsia="仿宋" w:cs="仿宋"/>
          <w:kern w:val="0"/>
          <w:sz w:val="24"/>
          <w:lang w:eastAsia="ja-JP"/>
        </w:rPr>
        <w:t>联系电话：</w:t>
      </w:r>
      <w:r>
        <w:rPr>
          <w:rFonts w:hint="eastAsia" w:ascii="仿宋" w:hAnsi="仿宋" w:eastAsia="仿宋" w:cs="仿宋"/>
          <w:kern w:val="0"/>
          <w:sz w:val="24"/>
        </w:rPr>
        <w:t>0591-28559620</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lang w:eastAsia="ja-JP"/>
        </w:rPr>
        <w:t>（2）乙方确认其有效的送达地址：</w:t>
      </w:r>
      <w:r>
        <w:rPr>
          <w:rFonts w:hint="eastAsia" w:ascii="仿宋" w:hAnsi="仿宋" w:eastAsia="仿宋" w:cs="仿宋"/>
          <w:kern w:val="0"/>
          <w:sz w:val="24"/>
          <w:u w:val="single"/>
          <w:lang w:eastAsia="ja-JP"/>
        </w:rPr>
        <w:t xml:space="preserve">    XXX   </w:t>
      </w:r>
    </w:p>
    <w:p>
      <w:pPr>
        <w:widowControl/>
        <w:adjustRightInd w:val="0"/>
        <w:snapToGrid w:val="0"/>
        <w:spacing w:line="480" w:lineRule="exact"/>
        <w:ind w:firstLine="480" w:firstLineChars="200"/>
        <w:jc w:val="left"/>
        <w:rPr>
          <w:rFonts w:ascii="仿宋" w:hAnsi="仿宋" w:eastAsia="仿宋" w:cs="仿宋"/>
          <w:kern w:val="0"/>
          <w:sz w:val="24"/>
          <w:u w:val="single"/>
          <w:lang w:eastAsia="ja-JP"/>
        </w:rPr>
      </w:pPr>
      <w:r>
        <w:rPr>
          <w:rFonts w:hint="eastAsia" w:ascii="仿宋" w:hAnsi="仿宋" w:eastAsia="仿宋" w:cs="仿宋"/>
          <w:kern w:val="0"/>
          <w:sz w:val="24"/>
          <w:u w:val="single"/>
          <w:lang w:eastAsia="ja-JP"/>
        </w:rPr>
        <w:t xml:space="preserve">联络人：    XXX    电话：    XXX   </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合同任意一方如需变更上述送达地址及联络方式的应当提前以书面方式通知对方。</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合同一方当事人或法院、仲裁等机关，发送的各类文件、文书，均可按上述送达地址，直接邮寄。</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任意一方当事人提供或者确认的送达地址不准确、送达地址变更后未及时依程序告知对方和拒绝签收等原因，导致合同一方当事人或法院、仲裁等机关发送的各类文件、文书，未能被当事人实际接收的，以邮寄文书投递之日起三日或者相关邮寄文件退回之日视为送达之日（以先到日期为准）。</w:t>
      </w:r>
    </w:p>
    <w:p>
      <w:pPr>
        <w:widowControl/>
        <w:numPr>
          <w:ilvl w:val="3"/>
          <w:numId w:val="7"/>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如果甲方提出索赔通知后15天内乙方未能予以答复，该索赔应视为已被乙方接受。</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合同争议解决方式</w:t>
      </w:r>
    </w:p>
    <w:p>
      <w:pPr>
        <w:widowControl/>
        <w:numPr>
          <w:ilvl w:val="255"/>
          <w:numId w:val="0"/>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若因执行本合同所发生的争议、由双方通过友好协商解决。如果不能协商一致，任何一方有权将争议提交福州仲裁委员会仲裁。</w:t>
      </w:r>
    </w:p>
    <w:p>
      <w:pPr>
        <w:widowControl/>
        <w:numPr>
          <w:ilvl w:val="0"/>
          <w:numId w:val="2"/>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其它条款</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受不可抗力事件(系指严重火灾、台风、地震、洪水等不能预见事件)影响的合同一方对于不可抗力事件导致的任何合同义务的延迟履行或不能履行不承担责任，但应尽快以传真的方式将不可抗力事件结束消除情况通知另一方。</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合同有效期限到期后，合同项下任何尚未了结的债权和债务不受合同到期的影响，债务人仍应向债权人履行义务。</w:t>
      </w:r>
    </w:p>
    <w:p>
      <w:pPr>
        <w:widowControl/>
        <w:numPr>
          <w:ilvl w:val="3"/>
          <w:numId w:val="8"/>
        </w:numPr>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本合同一式</w:t>
      </w:r>
      <w:r>
        <w:rPr>
          <w:rFonts w:hint="eastAsia" w:ascii="仿宋" w:hAnsi="仿宋" w:eastAsia="仿宋" w:cs="仿宋"/>
          <w:kern w:val="0"/>
          <w:sz w:val="24"/>
        </w:rPr>
        <w:t>陆</w:t>
      </w:r>
      <w:r>
        <w:rPr>
          <w:rFonts w:hint="eastAsia" w:ascii="仿宋" w:hAnsi="仿宋" w:eastAsia="仿宋" w:cs="仿宋"/>
          <w:kern w:val="0"/>
          <w:sz w:val="24"/>
          <w:lang w:eastAsia="ja-JP"/>
        </w:rPr>
        <w:t>份，经双方签字盖章后即时生效。</w:t>
      </w:r>
      <w:r>
        <w:rPr>
          <w:rFonts w:hint="eastAsia" w:ascii="仿宋" w:hAnsi="仿宋" w:eastAsia="仿宋" w:cs="仿宋"/>
          <w:kern w:val="0"/>
          <w:sz w:val="24"/>
        </w:rPr>
        <w:t>甲乙双</w:t>
      </w:r>
      <w:r>
        <w:rPr>
          <w:rFonts w:hint="eastAsia" w:ascii="仿宋" w:hAnsi="仿宋" w:eastAsia="仿宋" w:cs="仿宋"/>
          <w:kern w:val="0"/>
          <w:sz w:val="24"/>
          <w:lang w:eastAsia="ja-JP"/>
        </w:rPr>
        <w:t>方</w:t>
      </w:r>
      <w:r>
        <w:rPr>
          <w:rFonts w:hint="eastAsia" w:ascii="仿宋" w:hAnsi="仿宋" w:eastAsia="仿宋" w:cs="仿宋"/>
          <w:kern w:val="0"/>
          <w:sz w:val="24"/>
        </w:rPr>
        <w:t>各</w:t>
      </w:r>
      <w:r>
        <w:rPr>
          <w:rFonts w:hint="eastAsia" w:ascii="仿宋" w:hAnsi="仿宋" w:eastAsia="仿宋" w:cs="仿宋"/>
          <w:kern w:val="0"/>
          <w:sz w:val="24"/>
          <w:lang w:eastAsia="ja-JP"/>
        </w:rPr>
        <w:t>执</w:t>
      </w:r>
      <w:r>
        <w:rPr>
          <w:rFonts w:hint="eastAsia" w:ascii="仿宋" w:hAnsi="仿宋" w:eastAsia="仿宋" w:cs="仿宋"/>
          <w:kern w:val="0"/>
          <w:sz w:val="24"/>
        </w:rPr>
        <w:t>叁</w:t>
      </w:r>
      <w:r>
        <w:rPr>
          <w:rFonts w:hint="eastAsia" w:ascii="仿宋" w:hAnsi="仿宋" w:eastAsia="仿宋" w:cs="仿宋"/>
          <w:kern w:val="0"/>
          <w:sz w:val="24"/>
          <w:lang w:eastAsia="ja-JP"/>
        </w:rPr>
        <w:t>份，具有同等法律效力。</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rPr>
        <w:t>（以下无正文）</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甲方:福州市滨海水务发展有限公司</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单位税号：</w:t>
      </w:r>
      <w:r>
        <w:rPr>
          <w:rFonts w:hint="eastAsia" w:ascii="仿宋" w:hAnsi="仿宋" w:eastAsia="仿宋" w:cs="仿宋"/>
          <w:kern w:val="0"/>
          <w:sz w:val="24"/>
        </w:rPr>
        <w:t xml:space="preserve"> </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开户银行：</w:t>
      </w:r>
      <w:r>
        <w:rPr>
          <w:rFonts w:hint="eastAsia" w:ascii="仿宋" w:hAnsi="仿宋" w:eastAsia="仿宋" w:cs="仿宋"/>
          <w:kern w:val="0"/>
          <w:sz w:val="24"/>
        </w:rPr>
        <w:t xml:space="preserve"> </w:t>
      </w:r>
    </w:p>
    <w:p>
      <w:pPr>
        <w:widowControl/>
        <w:adjustRightInd w:val="0"/>
        <w:snapToGrid w:val="0"/>
        <w:spacing w:line="480" w:lineRule="exact"/>
        <w:ind w:firstLine="480" w:firstLineChars="200"/>
        <w:jc w:val="left"/>
        <w:rPr>
          <w:rFonts w:ascii="仿宋" w:hAnsi="仿宋" w:eastAsia="仿宋" w:cs="仿宋"/>
          <w:kern w:val="0"/>
          <w:sz w:val="24"/>
        </w:rPr>
      </w:pPr>
      <w:r>
        <w:rPr>
          <w:rFonts w:hint="eastAsia" w:ascii="仿宋" w:hAnsi="仿宋" w:eastAsia="仿宋" w:cs="仿宋"/>
          <w:kern w:val="0"/>
          <w:sz w:val="24"/>
          <w:lang w:eastAsia="ja-JP"/>
        </w:rPr>
        <w:t>帐号：</w:t>
      </w:r>
      <w:r>
        <w:rPr>
          <w:rFonts w:hint="eastAsia" w:ascii="仿宋" w:hAnsi="仿宋" w:eastAsia="仿宋" w:cs="仿宋"/>
          <w:kern w:val="0"/>
          <w:sz w:val="24"/>
        </w:rPr>
        <w:t xml:space="preserve"> </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widowControl/>
        <w:adjustRightInd w:val="0"/>
        <w:snapToGrid w:val="0"/>
        <w:spacing w:line="480" w:lineRule="exact"/>
        <w:ind w:firstLine="480" w:firstLineChars="200"/>
        <w:jc w:val="left"/>
        <w:rPr>
          <w:rFonts w:ascii="仿宋" w:hAnsi="仿宋" w:eastAsia="仿宋" w:cs="仿宋"/>
          <w:kern w:val="0"/>
          <w:sz w:val="24"/>
          <w:lang w:eastAsia="ja-JP"/>
        </w:rPr>
      </w:pP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乙方：</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法定代表人：</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单位税号：</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注册地址：</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开户银行：</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帐号：</w:t>
      </w:r>
    </w:p>
    <w:p>
      <w:pPr>
        <w:widowControl/>
        <w:adjustRightInd w:val="0"/>
        <w:snapToGrid w:val="0"/>
        <w:spacing w:line="480" w:lineRule="exact"/>
        <w:ind w:firstLine="480" w:firstLineChars="200"/>
        <w:jc w:val="left"/>
        <w:rPr>
          <w:rFonts w:ascii="仿宋" w:hAnsi="仿宋" w:eastAsia="仿宋" w:cs="仿宋"/>
          <w:kern w:val="0"/>
          <w:sz w:val="24"/>
          <w:lang w:eastAsia="ja-JP"/>
        </w:rPr>
      </w:pPr>
      <w:r>
        <w:rPr>
          <w:rFonts w:hint="eastAsia" w:ascii="仿宋" w:hAnsi="仿宋" w:eastAsia="仿宋" w:cs="仿宋"/>
          <w:kern w:val="0"/>
          <w:sz w:val="24"/>
          <w:lang w:eastAsia="ja-JP"/>
        </w:rPr>
        <w:t>日期：   年   月   日</w:t>
      </w:r>
    </w:p>
    <w:p>
      <w:pPr>
        <w:jc w:val="left"/>
        <w:rPr>
          <w:rFonts w:ascii="仿宋" w:hAnsi="仿宋" w:eastAsia="仿宋" w:cs="仿宋"/>
          <w:kern w:val="0"/>
          <w:sz w:val="32"/>
          <w:szCs w:val="32"/>
        </w:rPr>
      </w:pPr>
      <w:r>
        <w:rPr>
          <w:rFonts w:hint="eastAsia" w:ascii="仿宋" w:hAnsi="仿宋" w:eastAsia="仿宋" w:cs="仿宋"/>
          <w:kern w:val="0"/>
          <w:sz w:val="32"/>
          <w:szCs w:val="32"/>
        </w:rPr>
        <w:br w:type="page"/>
      </w:r>
    </w:p>
    <w:p>
      <w:pPr>
        <w:spacing w:line="500" w:lineRule="exact"/>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 xml:space="preserve">附件2：授权委托书 </w:t>
      </w:r>
    </w:p>
    <w:p>
      <w:pPr>
        <w:spacing w:line="500" w:lineRule="exact"/>
        <w:jc w:val="left"/>
        <w:rPr>
          <w:rFonts w:ascii="仿宋" w:hAnsi="仿宋" w:eastAsia="仿宋" w:cs="仿宋"/>
          <w:kern w:val="0"/>
          <w:sz w:val="32"/>
          <w:szCs w:val="32"/>
        </w:rPr>
      </w:pPr>
    </w:p>
    <w:p>
      <w:pPr>
        <w:spacing w:line="500" w:lineRule="exact"/>
        <w:jc w:val="center"/>
        <w:rPr>
          <w:rFonts w:ascii="黑体" w:hAnsi="黑体" w:eastAsia="黑体" w:cs="黑体"/>
          <w:b/>
          <w:bCs/>
          <w:kern w:val="0"/>
          <w:sz w:val="44"/>
          <w:szCs w:val="44"/>
        </w:rPr>
      </w:pPr>
      <w:r>
        <w:rPr>
          <w:rFonts w:hint="eastAsia" w:ascii="黑体" w:hAnsi="黑体" w:eastAsia="黑体" w:cs="黑体"/>
          <w:b/>
          <w:bCs/>
          <w:kern w:val="0"/>
          <w:sz w:val="44"/>
          <w:szCs w:val="44"/>
        </w:rPr>
        <w:t>授 权 委 托 书</w:t>
      </w:r>
    </w:p>
    <w:p>
      <w:pPr>
        <w:spacing w:line="360" w:lineRule="auto"/>
        <w:jc w:val="center"/>
        <w:rPr>
          <w:rFonts w:ascii="仿宋" w:hAnsi="仿宋" w:eastAsia="仿宋" w:cs="仿宋"/>
          <w:b/>
          <w:bCs/>
          <w:kern w:val="0"/>
          <w:sz w:val="44"/>
          <w:szCs w:val="44"/>
        </w:rPr>
      </w:pP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本人 </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（姓名）</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（身份证号码）系</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（报价人名称） 的法定代表人，现委托</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（姓名）</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（身份证号码）为我方代理人， 以我方名义签署、澄清、说明、补正、递交、撤回、修改</w:t>
      </w:r>
      <w:r>
        <w:rPr>
          <w:rFonts w:hint="eastAsia" w:ascii="仿宋" w:hAnsi="仿宋" w:eastAsia="仿宋" w:cs="仿宋"/>
          <w:kern w:val="0"/>
          <w:sz w:val="32"/>
          <w:szCs w:val="32"/>
          <w:u w:val="single"/>
        </w:rPr>
        <w:t xml:space="preserve"> 拖挂式移动泵车采购项目 </w:t>
      </w:r>
      <w:r>
        <w:rPr>
          <w:rFonts w:hint="eastAsia" w:ascii="仿宋" w:hAnsi="仿宋" w:eastAsia="仿宋" w:cs="仿宋"/>
          <w:kern w:val="0"/>
          <w:sz w:val="32"/>
          <w:szCs w:val="32"/>
        </w:rPr>
        <w:t xml:space="preserve">的报价文件、签订合同和处理有关事宜，其法律后果由我方承担。 </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代理人无转委托权。 </w:t>
      </w:r>
    </w:p>
    <w:p>
      <w:pPr>
        <w:spacing w:line="360" w:lineRule="auto"/>
        <w:ind w:firstLine="640" w:firstLineChars="200"/>
        <w:jc w:val="left"/>
        <w:rPr>
          <w:rFonts w:ascii="仿宋" w:hAnsi="仿宋" w:eastAsia="仿宋" w:cs="仿宋"/>
          <w:kern w:val="0"/>
          <w:sz w:val="32"/>
          <w:szCs w:val="32"/>
        </w:rPr>
      </w:pPr>
    </w:p>
    <w:p>
      <w:pPr>
        <w:spacing w:line="360" w:lineRule="auto"/>
        <w:ind w:firstLine="640" w:firstLineChars="200"/>
        <w:jc w:val="left"/>
        <w:rPr>
          <w:rFonts w:ascii="仿宋" w:hAnsi="仿宋" w:eastAsia="仿宋" w:cs="仿宋"/>
          <w:kern w:val="0"/>
          <w:sz w:val="32"/>
          <w:szCs w:val="32"/>
        </w:rPr>
      </w:pP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代理人姓名：        性别：        年龄： </w:t>
      </w: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身份证号码：</w:t>
      </w: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授权期限：</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日至</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年</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月</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日 </w:t>
      </w:r>
    </w:p>
    <w:p>
      <w:pPr>
        <w:spacing w:line="360" w:lineRule="auto"/>
        <w:ind w:left="630" w:leftChars="300"/>
        <w:jc w:val="left"/>
        <w:rPr>
          <w:rFonts w:ascii="仿宋" w:hAnsi="仿宋" w:eastAsia="仿宋" w:cs="仿宋"/>
          <w:kern w:val="0"/>
          <w:sz w:val="32"/>
          <w:szCs w:val="32"/>
        </w:rPr>
      </w:pPr>
      <w:r>
        <w:rPr>
          <w:rFonts w:hint="eastAsia" w:ascii="仿宋" w:hAnsi="仿宋" w:eastAsia="仿宋" w:cs="仿宋"/>
          <w:kern w:val="0"/>
          <w:sz w:val="32"/>
          <w:szCs w:val="32"/>
        </w:rPr>
        <w:t xml:space="preserve">附：委托代理人身份证复印件 </w:t>
      </w:r>
    </w:p>
    <w:p>
      <w:pPr>
        <w:spacing w:line="360" w:lineRule="auto"/>
        <w:ind w:firstLine="640" w:firstLineChars="200"/>
        <w:jc w:val="left"/>
        <w:rPr>
          <w:rFonts w:ascii="仿宋" w:hAnsi="仿宋" w:eastAsia="仿宋" w:cs="仿宋"/>
          <w:kern w:val="0"/>
          <w:sz w:val="32"/>
          <w:szCs w:val="32"/>
        </w:rPr>
      </w:pPr>
    </w:p>
    <w:p>
      <w:pPr>
        <w:spacing w:line="360" w:lineRule="auto"/>
        <w:ind w:firstLine="0" w:firstLineChars="0"/>
        <w:jc w:val="left"/>
        <w:rPr>
          <w:rFonts w:ascii="仿宋" w:hAnsi="仿宋" w:eastAsia="仿宋" w:cs="仿宋"/>
          <w:kern w:val="0"/>
          <w:sz w:val="32"/>
          <w:szCs w:val="32"/>
        </w:rPr>
      </w:pPr>
    </w:p>
    <w:p>
      <w:pPr>
        <w:spacing w:line="360" w:lineRule="auto"/>
        <w:ind w:firstLine="2880" w:firstLineChars="900"/>
        <w:rPr>
          <w:rFonts w:ascii="仿宋" w:hAnsi="仿宋" w:eastAsia="仿宋" w:cs="仿宋"/>
          <w:kern w:val="0"/>
          <w:sz w:val="32"/>
          <w:szCs w:val="32"/>
        </w:rPr>
      </w:pPr>
      <w:r>
        <w:rPr>
          <w:rFonts w:hint="eastAsia" w:ascii="仿宋" w:hAnsi="仿宋" w:eastAsia="仿宋" w:cs="仿宋"/>
          <w:kern w:val="0"/>
          <w:sz w:val="32"/>
          <w:szCs w:val="32"/>
        </w:rPr>
        <w:t>报价人：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（盖报价人单位公章） </w:t>
      </w:r>
    </w:p>
    <w:p>
      <w:pPr>
        <w:spacing w:line="360" w:lineRule="auto"/>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法定代表人：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(签字或签章) </w:t>
      </w:r>
    </w:p>
    <w:p>
      <w:pPr>
        <w:spacing w:line="360" w:lineRule="auto"/>
        <w:ind w:firstLine="640" w:firstLineChars="200"/>
        <w:jc w:val="right"/>
        <w:rPr>
          <w:rFonts w:ascii="仿宋" w:hAnsi="仿宋" w:eastAsia="仿宋" w:cs="仿宋"/>
          <w:kern w:val="0"/>
          <w:sz w:val="32"/>
          <w:szCs w:val="32"/>
        </w:rPr>
      </w:pPr>
      <w:r>
        <w:rPr>
          <w:rFonts w:hint="eastAsia" w:ascii="仿宋" w:hAnsi="仿宋" w:eastAsia="仿宋" w:cs="仿宋"/>
          <w:kern w:val="0"/>
          <w:sz w:val="32"/>
          <w:szCs w:val="32"/>
        </w:rPr>
        <w:t>委托代理人：</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(签字) </w:t>
      </w:r>
    </w:p>
    <w:p>
      <w:pPr>
        <w:spacing w:line="360" w:lineRule="auto"/>
        <w:ind w:firstLine="640" w:firstLineChars="200"/>
        <w:jc w:val="right"/>
        <w:rPr>
          <w:rFonts w:ascii="仿宋" w:hAnsi="仿宋" w:eastAsia="仿宋" w:cs="仿宋"/>
          <w:kern w:val="0"/>
          <w:sz w:val="32"/>
          <w:szCs w:val="32"/>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rPr>
        <w:t xml:space="preserve">日期：   年   月   日 </w:t>
      </w:r>
    </w:p>
    <w:p>
      <w:pPr>
        <w:spacing w:line="500" w:lineRule="exact"/>
        <w:jc w:val="left"/>
        <w:rPr>
          <w:rFonts w:ascii="宋体" w:hAnsi="宋体" w:cs="宋体"/>
          <w:sz w:val="24"/>
        </w:rPr>
      </w:pPr>
      <w:r>
        <w:rPr>
          <w:rFonts w:hint="eastAsia" w:ascii="仿宋" w:hAnsi="仿宋" w:eastAsia="仿宋" w:cs="仿宋"/>
          <w:kern w:val="0"/>
          <w:sz w:val="32"/>
          <w:szCs w:val="32"/>
        </w:rPr>
        <w:t>附件3：项目询价承诺函及报价表</w:t>
      </w:r>
      <w:r>
        <w:rPr>
          <w:rFonts w:ascii="宋体" w:hAnsi="宋体" w:cs="宋体"/>
          <w:sz w:val="24"/>
        </w:rPr>
        <w:t xml:space="preserve"> </w:t>
      </w:r>
    </w:p>
    <w:p>
      <w:pPr>
        <w:spacing w:line="500" w:lineRule="exact"/>
        <w:jc w:val="left"/>
        <w:rPr>
          <w:rFonts w:ascii="宋体" w:hAnsi="宋体" w:cs="宋体"/>
          <w:sz w:val="24"/>
        </w:rPr>
      </w:pPr>
    </w:p>
    <w:p>
      <w:pPr>
        <w:spacing w:line="500" w:lineRule="exact"/>
        <w:jc w:val="left"/>
        <w:rPr>
          <w:rFonts w:ascii="宋体" w:hAnsi="宋体" w:cs="宋体"/>
          <w:sz w:val="24"/>
        </w:rPr>
      </w:pPr>
    </w:p>
    <w:p>
      <w:pPr>
        <w:spacing w:line="500" w:lineRule="exact"/>
        <w:jc w:val="center"/>
        <w:rPr>
          <w:rFonts w:ascii="黑体" w:hAnsi="黑体" w:eastAsia="黑体" w:cs="黑体"/>
          <w:kern w:val="0"/>
          <w:sz w:val="36"/>
          <w:szCs w:val="36"/>
        </w:rPr>
      </w:pPr>
      <w:r>
        <w:rPr>
          <w:rFonts w:hint="eastAsia" w:ascii="黑体" w:hAnsi="黑体" w:eastAsia="黑体" w:cs="黑体"/>
          <w:kern w:val="0"/>
          <w:sz w:val="36"/>
          <w:szCs w:val="36"/>
        </w:rPr>
        <w:t>项目询价承诺函及报价表</w:t>
      </w:r>
    </w:p>
    <w:p>
      <w:pPr>
        <w:spacing w:line="500" w:lineRule="exact"/>
        <w:jc w:val="center"/>
        <w:rPr>
          <w:rFonts w:ascii="黑体" w:hAnsi="黑体" w:eastAsia="黑体" w:cs="黑体"/>
          <w:kern w:val="0"/>
          <w:sz w:val="36"/>
          <w:szCs w:val="36"/>
        </w:rPr>
      </w:pP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福州市滨海水务发展有限公司：</w:t>
      </w:r>
    </w:p>
    <w:p>
      <w:pPr>
        <w:spacing w:line="360" w:lineRule="auto"/>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 xml:space="preserve">我单位承诺，我单位所提供的所有资料均真实、合法，近两年内没有不良记录，若查出存在虚假信息，由此产生的法律后果一律由我单位承担。 </w:t>
      </w:r>
    </w:p>
    <w:p>
      <w:pPr>
        <w:spacing w:line="360" w:lineRule="auto"/>
        <w:jc w:val="left"/>
        <w:rPr>
          <w:rFonts w:ascii="仿宋" w:hAnsi="仿宋" w:eastAsia="仿宋" w:cs="仿宋"/>
          <w:kern w:val="0"/>
          <w:sz w:val="32"/>
          <w:szCs w:val="32"/>
        </w:rPr>
      </w:pPr>
    </w:p>
    <w:p>
      <w:pPr>
        <w:spacing w:line="360" w:lineRule="auto"/>
        <w:jc w:val="left"/>
        <w:rPr>
          <w:rFonts w:ascii="仿宋" w:hAnsi="仿宋" w:eastAsia="仿宋" w:cs="仿宋"/>
          <w:kern w:val="0"/>
          <w:sz w:val="32"/>
          <w:szCs w:val="32"/>
        </w:rPr>
      </w:pP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联系人：                联系电话：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报价承诺单位：(公章)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法定代表人：(签名或盖章) </w:t>
      </w:r>
    </w:p>
    <w:p>
      <w:pPr>
        <w:spacing w:line="360" w:lineRule="auto"/>
        <w:jc w:val="left"/>
        <w:rPr>
          <w:rFonts w:ascii="仿宋" w:hAnsi="仿宋" w:eastAsia="仿宋" w:cs="仿宋"/>
          <w:kern w:val="0"/>
          <w:sz w:val="32"/>
          <w:szCs w:val="32"/>
        </w:rPr>
      </w:pPr>
      <w:r>
        <w:rPr>
          <w:rFonts w:hint="eastAsia" w:ascii="仿宋" w:hAnsi="仿宋" w:eastAsia="仿宋" w:cs="仿宋"/>
          <w:kern w:val="0"/>
          <w:sz w:val="32"/>
          <w:szCs w:val="32"/>
        </w:rPr>
        <w:t xml:space="preserve">日期：   年   月   日 </w:t>
      </w:r>
    </w:p>
    <w:p>
      <w:pPr>
        <w:spacing w:line="500" w:lineRule="exact"/>
        <w:jc w:val="left"/>
        <w:rPr>
          <w:rFonts w:ascii="仿宋" w:hAnsi="仿宋" w:eastAsia="仿宋" w:cs="仿宋"/>
          <w:kern w:val="0"/>
          <w:sz w:val="32"/>
          <w:szCs w:val="32"/>
        </w:rPr>
      </w:pPr>
    </w:p>
    <w:p>
      <w:pPr>
        <w:spacing w:line="500" w:lineRule="exact"/>
        <w:jc w:val="left"/>
        <w:rPr>
          <w:rFonts w:ascii="仿宋" w:hAnsi="仿宋" w:eastAsia="仿宋" w:cs="仿宋"/>
          <w:kern w:val="0"/>
          <w:sz w:val="32"/>
          <w:szCs w:val="32"/>
        </w:rPr>
      </w:pPr>
    </w:p>
    <w:p>
      <w:pPr>
        <w:spacing w:line="500" w:lineRule="exact"/>
        <w:jc w:val="left"/>
        <w:rPr>
          <w:rFonts w:ascii="仿宋" w:hAnsi="仿宋" w:eastAsia="仿宋" w:cs="仿宋"/>
          <w:kern w:val="0"/>
          <w:sz w:val="32"/>
          <w:szCs w:val="32"/>
        </w:rPr>
      </w:pPr>
    </w:p>
    <w:p>
      <w:pPr>
        <w:spacing w:line="500" w:lineRule="exact"/>
        <w:jc w:val="left"/>
        <w:rPr>
          <w:rFonts w:ascii="仿宋" w:hAnsi="仿宋" w:eastAsia="仿宋" w:cs="仿宋"/>
          <w:kern w:val="0"/>
          <w:sz w:val="32"/>
          <w:szCs w:val="32"/>
        </w:rPr>
      </w:pPr>
    </w:p>
    <w:p>
      <w:pPr>
        <w:spacing w:line="500" w:lineRule="exact"/>
        <w:jc w:val="left"/>
        <w:rPr>
          <w:rFonts w:ascii="仿宋" w:hAnsi="仿宋" w:eastAsia="仿宋" w:cs="仿宋"/>
          <w:kern w:val="0"/>
          <w:sz w:val="32"/>
          <w:szCs w:val="32"/>
        </w:rPr>
      </w:pPr>
    </w:p>
    <w:p>
      <w:pPr>
        <w:spacing w:line="500" w:lineRule="exact"/>
        <w:jc w:val="left"/>
        <w:rPr>
          <w:rFonts w:ascii="仿宋" w:hAnsi="仿宋" w:eastAsia="仿宋" w:cs="仿宋"/>
          <w:kern w:val="0"/>
          <w:sz w:val="32"/>
          <w:szCs w:val="32"/>
        </w:rPr>
      </w:pPr>
    </w:p>
    <w:p>
      <w:pPr>
        <w:spacing w:line="500" w:lineRule="exact"/>
        <w:jc w:val="left"/>
        <w:rPr>
          <w:rFonts w:ascii="仿宋" w:hAnsi="仿宋" w:eastAsia="仿宋" w:cs="仿宋"/>
          <w:kern w:val="0"/>
          <w:sz w:val="32"/>
          <w:szCs w:val="32"/>
        </w:rPr>
      </w:pPr>
    </w:p>
    <w:p>
      <w:pPr>
        <w:spacing w:line="500" w:lineRule="exact"/>
        <w:jc w:val="center"/>
        <w:rPr>
          <w:rFonts w:ascii="黑体" w:hAnsi="黑体" w:eastAsia="黑体" w:cs="黑体"/>
          <w:kern w:val="0"/>
          <w:sz w:val="40"/>
          <w:szCs w:val="40"/>
        </w:rPr>
      </w:pPr>
    </w:p>
    <w:p>
      <w:pPr>
        <w:jc w:val="left"/>
        <w:rPr>
          <w:rFonts w:ascii="黑体" w:hAnsi="黑体" w:eastAsia="黑体" w:cs="黑体"/>
          <w:kern w:val="0"/>
          <w:sz w:val="40"/>
          <w:szCs w:val="40"/>
        </w:rPr>
      </w:pPr>
      <w:r>
        <w:rPr>
          <w:rFonts w:hint="eastAsia" w:ascii="黑体" w:hAnsi="黑体" w:eastAsia="黑体" w:cs="黑体"/>
          <w:kern w:val="0"/>
          <w:sz w:val="40"/>
          <w:szCs w:val="40"/>
        </w:rPr>
        <w:br w:type="page"/>
      </w:r>
    </w:p>
    <w:p>
      <w:pPr>
        <w:spacing w:line="500" w:lineRule="exact"/>
        <w:jc w:val="center"/>
        <w:rPr>
          <w:rFonts w:ascii="黑体" w:hAnsi="黑体" w:eastAsia="黑体" w:cs="黑体"/>
          <w:kern w:val="0"/>
          <w:sz w:val="40"/>
          <w:szCs w:val="40"/>
        </w:rPr>
      </w:pPr>
      <w:r>
        <w:rPr>
          <w:rFonts w:hint="eastAsia" w:ascii="黑体" w:hAnsi="黑体" w:eastAsia="黑体" w:cs="黑体"/>
          <w:kern w:val="0"/>
          <w:sz w:val="40"/>
          <w:szCs w:val="40"/>
        </w:rPr>
        <w:t>报价表</w:t>
      </w:r>
    </w:p>
    <w:p>
      <w:pPr>
        <w:spacing w:line="500" w:lineRule="exact"/>
        <w:jc w:val="center"/>
        <w:rPr>
          <w:rFonts w:ascii="黑体" w:hAnsi="黑体" w:eastAsia="黑体" w:cs="黑体"/>
          <w:kern w:val="0"/>
          <w:sz w:val="40"/>
          <w:szCs w:val="40"/>
        </w:rPr>
      </w:pPr>
    </w:p>
    <w:p>
      <w:pPr>
        <w:spacing w:line="500" w:lineRule="exact"/>
        <w:rPr>
          <w:rFonts w:ascii="仿宋" w:hAnsi="仿宋" w:eastAsia="仿宋" w:cs="仿宋"/>
          <w:kern w:val="0"/>
          <w:sz w:val="32"/>
          <w:szCs w:val="32"/>
        </w:rPr>
      </w:pPr>
      <w:r>
        <w:rPr>
          <w:rFonts w:hint="eastAsia" w:ascii="仿宋" w:hAnsi="仿宋" w:eastAsia="仿宋" w:cs="仿宋"/>
          <w:kern w:val="0"/>
          <w:sz w:val="32"/>
          <w:szCs w:val="32"/>
        </w:rPr>
        <w:t xml:space="preserve">报价单位全称(盖章)： </w:t>
      </w:r>
    </w:p>
    <w:p>
      <w:pPr>
        <w:spacing w:line="500" w:lineRule="exact"/>
        <w:rPr>
          <w:rFonts w:ascii="仿宋" w:hAnsi="仿宋" w:eastAsia="仿宋" w:cs="仿宋"/>
          <w:kern w:val="0"/>
          <w:sz w:val="32"/>
          <w:szCs w:val="32"/>
        </w:rPr>
      </w:pPr>
      <w:r>
        <w:rPr>
          <w:rFonts w:hint="eastAsia" w:ascii="仿宋" w:hAnsi="仿宋" w:eastAsia="仿宋" w:cs="仿宋"/>
          <w:kern w:val="0"/>
          <w:sz w:val="32"/>
          <w:szCs w:val="32"/>
        </w:rPr>
        <w:t>报价日期：   年   月   日</w:t>
      </w:r>
    </w:p>
    <w:p>
      <w:pPr>
        <w:spacing w:line="500" w:lineRule="exact"/>
        <w:rPr>
          <w:rFonts w:ascii="仿宋" w:hAnsi="仿宋" w:eastAsia="仿宋" w:cs="仿宋"/>
          <w:kern w:val="0"/>
          <w:sz w:val="32"/>
          <w:szCs w:val="32"/>
        </w:rPr>
      </w:pPr>
    </w:p>
    <w:p>
      <w:pPr>
        <w:spacing w:line="500" w:lineRule="exact"/>
        <w:ind w:left="160"/>
        <w:rPr>
          <w:rFonts w:ascii="宋体" w:hAnsi="宋体" w:cs="宋体"/>
          <w:sz w:val="24"/>
        </w:rPr>
      </w:pPr>
      <w:r>
        <w:rPr>
          <w:rFonts w:hint="eastAsia" w:ascii="宋体" w:hAnsi="宋体" w:cs="宋体"/>
          <w:sz w:val="24"/>
        </w:rPr>
        <w:t>一、</w:t>
      </w:r>
      <w:r>
        <w:rPr>
          <w:rFonts w:hint="eastAsia" w:ascii="仿宋" w:hAnsi="仿宋" w:eastAsia="仿宋" w:cs="仿宋"/>
          <w:kern w:val="0"/>
          <w:sz w:val="32"/>
          <w:szCs w:val="32"/>
        </w:rPr>
        <w:t>具体报价如下</w:t>
      </w:r>
      <w:r>
        <w:rPr>
          <w:rFonts w:ascii="宋体" w:hAnsi="宋体" w:cs="宋体"/>
          <w:sz w:val="24"/>
        </w:rPr>
        <w:t>：</w:t>
      </w:r>
    </w:p>
    <w:tbl>
      <w:tblPr>
        <w:tblStyle w:val="22"/>
        <w:tblpPr w:leftFromText="180" w:rightFromText="180" w:vertAnchor="text" w:horzAnchor="page" w:tblpX="1280" w:tblpY="109"/>
        <w:tblOverlap w:val="never"/>
        <w:tblW w:w="9234" w:type="dxa"/>
        <w:jc w:val="center"/>
        <w:tblLayout w:type="fixed"/>
        <w:tblCellMar>
          <w:top w:w="0" w:type="dxa"/>
          <w:left w:w="0" w:type="dxa"/>
          <w:bottom w:w="0" w:type="dxa"/>
          <w:right w:w="0" w:type="dxa"/>
        </w:tblCellMar>
      </w:tblPr>
      <w:tblGrid>
        <w:gridCol w:w="859"/>
        <w:gridCol w:w="2650"/>
        <w:gridCol w:w="1612"/>
        <w:gridCol w:w="1338"/>
        <w:gridCol w:w="1300"/>
        <w:gridCol w:w="1475"/>
      </w:tblGrid>
      <w:tr>
        <w:tblPrEx>
          <w:tblCellMar>
            <w:top w:w="0" w:type="dxa"/>
            <w:left w:w="0" w:type="dxa"/>
            <w:bottom w:w="0" w:type="dxa"/>
            <w:right w:w="0" w:type="dxa"/>
          </w:tblCellMar>
        </w:tblPrEx>
        <w:trPr>
          <w:trHeight w:val="660" w:hRule="atLeast"/>
          <w:jc w:val="center"/>
        </w:trPr>
        <w:tc>
          <w:tcPr>
            <w:tcW w:w="859"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kern w:val="0"/>
                <w:sz w:val="24"/>
              </w:rPr>
              <w:t>序号</w:t>
            </w:r>
          </w:p>
        </w:tc>
        <w:tc>
          <w:tcPr>
            <w:tcW w:w="265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品名</w:t>
            </w:r>
          </w:p>
        </w:tc>
        <w:tc>
          <w:tcPr>
            <w:tcW w:w="1612"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规格型号</w:t>
            </w:r>
          </w:p>
        </w:tc>
        <w:tc>
          <w:tcPr>
            <w:tcW w:w="1338"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数量（辆）</w:t>
            </w:r>
          </w:p>
        </w:tc>
        <w:tc>
          <w:tcPr>
            <w:tcW w:w="1300"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单价（元）</w:t>
            </w:r>
          </w:p>
        </w:tc>
        <w:tc>
          <w:tcPr>
            <w:tcW w:w="1475" w:type="dxa"/>
            <w:tcBorders>
              <w:top w:val="single" w:color="000000" w:sz="4" w:space="0"/>
              <w:left w:val="single" w:color="000000" w:sz="4" w:space="0"/>
              <w:bottom w:val="single" w:color="auto" w:sz="4" w:space="0"/>
              <w:right w:val="single" w:color="000000" w:sz="4" w:space="0"/>
            </w:tcBorders>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总价（</w:t>
            </w:r>
            <w:r>
              <w:rPr>
                <w:rStyle w:val="28"/>
                <w:rFonts w:hint="eastAsia" w:ascii="仿宋" w:hAnsi="仿宋" w:eastAsia="仿宋" w:cs="仿宋"/>
                <w:sz w:val="24"/>
                <w:szCs w:val="24"/>
              </w:rPr>
              <w:t>元</w:t>
            </w:r>
            <w:r>
              <w:rPr>
                <w:rFonts w:hint="eastAsia" w:ascii="仿宋" w:hAnsi="仿宋" w:eastAsia="仿宋" w:cs="仿宋"/>
                <w:kern w:val="0"/>
                <w:sz w:val="24"/>
              </w:rPr>
              <w:t>）</w:t>
            </w:r>
          </w:p>
        </w:tc>
      </w:tr>
      <w:tr>
        <w:tblPrEx>
          <w:tblCellMar>
            <w:top w:w="0" w:type="dxa"/>
            <w:left w:w="0" w:type="dxa"/>
            <w:bottom w:w="0" w:type="dxa"/>
            <w:right w:w="0" w:type="dxa"/>
          </w:tblCellMar>
        </w:tblPrEx>
        <w:trPr>
          <w:trHeight w:val="815" w:hRule="atLeast"/>
          <w:jc w:val="center"/>
        </w:trPr>
        <w:tc>
          <w:tcPr>
            <w:tcW w:w="859"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hint="eastAsia" w:ascii="仿宋" w:hAnsi="仿宋" w:eastAsia="仿宋" w:cs="仿宋"/>
                <w:sz w:val="24"/>
              </w:rPr>
              <w:t>1</w:t>
            </w:r>
          </w:p>
        </w:tc>
        <w:tc>
          <w:tcPr>
            <w:tcW w:w="265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sz w:val="24"/>
              </w:rPr>
            </w:pPr>
            <w:r>
              <w:rPr>
                <w:rFonts w:ascii="仿宋" w:hAnsi="仿宋" w:eastAsia="仿宋" w:cs="仿宋"/>
                <w:sz w:val="24"/>
              </w:rPr>
              <w:t>拖挂式移动泵车</w:t>
            </w:r>
          </w:p>
        </w:tc>
        <w:tc>
          <w:tcPr>
            <w:tcW w:w="1612"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360" w:lineRule="exact"/>
              <w:jc w:val="center"/>
              <w:textAlignment w:val="center"/>
              <w:rPr>
                <w:rFonts w:ascii="仿宋" w:hAnsi="仿宋" w:eastAsia="仿宋" w:cs="仿宋"/>
                <w:sz w:val="22"/>
                <w:szCs w:val="22"/>
              </w:rPr>
            </w:pPr>
            <w:r>
              <w:rPr>
                <w:rFonts w:hint="eastAsia" w:ascii="仿宋" w:hAnsi="仿宋" w:eastAsia="仿宋" w:cs="仿宋"/>
                <w:sz w:val="22"/>
                <w:szCs w:val="22"/>
              </w:rPr>
              <w:t>详见附件4技术标准和要求</w:t>
            </w:r>
          </w:p>
        </w:tc>
        <w:tc>
          <w:tcPr>
            <w:tcW w:w="1338"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spacing w:line="600" w:lineRule="exact"/>
              <w:jc w:val="center"/>
              <w:textAlignment w:val="center"/>
              <w:rPr>
                <w:rFonts w:ascii="仿宋" w:hAnsi="仿宋" w:eastAsia="仿宋" w:cs="仿宋"/>
                <w:kern w:val="0"/>
                <w:sz w:val="24"/>
              </w:rPr>
            </w:pPr>
            <w:r>
              <w:rPr>
                <w:rFonts w:hint="eastAsia" w:ascii="仿宋" w:hAnsi="仿宋" w:eastAsia="仿宋" w:cs="仿宋"/>
                <w:kern w:val="0"/>
                <w:sz w:val="24"/>
              </w:rPr>
              <w:t>1</w:t>
            </w:r>
          </w:p>
        </w:tc>
        <w:tc>
          <w:tcPr>
            <w:tcW w:w="1300"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c>
          <w:tcPr>
            <w:tcW w:w="1475" w:type="dxa"/>
            <w:tcBorders>
              <w:top w:val="single" w:color="auto" w:sz="4" w:space="0"/>
              <w:left w:val="single" w:color="auto" w:sz="4" w:space="0"/>
              <w:bottom w:val="single" w:color="auto" w:sz="4" w:space="0"/>
              <w:right w:val="single" w:color="auto" w:sz="4" w:space="0"/>
            </w:tcBorders>
          </w:tcPr>
          <w:p>
            <w:pPr>
              <w:widowControl/>
              <w:spacing w:line="600" w:lineRule="exact"/>
              <w:jc w:val="center"/>
              <w:textAlignment w:val="center"/>
              <w:rPr>
                <w:rFonts w:ascii="仿宋" w:hAnsi="仿宋" w:eastAsia="仿宋" w:cs="仿宋"/>
                <w:kern w:val="0"/>
                <w:sz w:val="24"/>
              </w:rPr>
            </w:pPr>
          </w:p>
        </w:tc>
      </w:tr>
      <w:tr>
        <w:tblPrEx>
          <w:tblCellMar>
            <w:top w:w="0" w:type="dxa"/>
            <w:left w:w="0" w:type="dxa"/>
            <w:bottom w:w="0" w:type="dxa"/>
            <w:right w:w="0" w:type="dxa"/>
          </w:tblCellMar>
        </w:tblPrEx>
        <w:trPr>
          <w:trHeight w:val="2410" w:hRule="atLeast"/>
          <w:jc w:val="center"/>
        </w:trPr>
        <w:tc>
          <w:tcPr>
            <w:tcW w:w="9234" w:type="dxa"/>
            <w:gridSpan w:val="6"/>
            <w:tcBorders>
              <w:left w:val="single" w:color="auto" w:sz="4" w:space="0"/>
              <w:bottom w:val="single" w:color="auto" w:sz="4" w:space="0"/>
              <w:right w:val="single" w:color="auto" w:sz="4" w:space="0"/>
            </w:tcBorders>
          </w:tcPr>
          <w:p>
            <w:pPr>
              <w:pStyle w:val="5"/>
              <w:widowControl/>
              <w:spacing w:line="360" w:lineRule="auto"/>
              <w:ind w:firstLine="566" w:firstLineChars="236"/>
              <w:rPr>
                <w:rFonts w:ascii="仿宋" w:hAnsi="仿宋" w:eastAsia="仿宋" w:cs="仿宋"/>
                <w:kern w:val="0"/>
                <w:sz w:val="24"/>
              </w:rPr>
            </w:pPr>
            <w:r>
              <w:rPr>
                <w:rFonts w:hint="eastAsia" w:ascii="仿宋" w:hAnsi="仿宋" w:eastAsia="仿宋" w:cs="仿宋"/>
                <w:kern w:val="0"/>
                <w:sz w:val="24"/>
              </w:rPr>
              <w:t>合同总价（含税费）：￥</w:t>
            </w:r>
            <w:r>
              <w:rPr>
                <w:rFonts w:hint="eastAsia" w:ascii="仿宋" w:hAnsi="仿宋" w:eastAsia="仿宋" w:cs="仿宋"/>
                <w:kern w:val="0"/>
                <w:sz w:val="24"/>
                <w:u w:val="single"/>
              </w:rPr>
              <w:t xml:space="preserve">         （大写：         </w:t>
            </w:r>
            <w:r>
              <w:rPr>
                <w:rFonts w:hint="eastAsia" w:ascii="仿宋" w:hAnsi="仿宋" w:eastAsia="仿宋" w:cs="仿宋"/>
                <w:kern w:val="0"/>
                <w:sz w:val="24"/>
              </w:rPr>
              <w:t>）；税率</w:t>
            </w:r>
            <w:r>
              <w:rPr>
                <w:rFonts w:hint="eastAsia" w:ascii="仿宋" w:hAnsi="仿宋" w:eastAsia="仿宋" w:cs="仿宋"/>
                <w:kern w:val="0"/>
                <w:sz w:val="24"/>
                <w:u w:val="single"/>
              </w:rPr>
              <w:t xml:space="preserve">  </w:t>
            </w:r>
            <w:r>
              <w:rPr>
                <w:rFonts w:hint="eastAsia" w:ascii="仿宋" w:hAnsi="仿宋" w:eastAsia="仿宋" w:cs="仿宋"/>
                <w:kern w:val="0"/>
                <w:sz w:val="24"/>
              </w:rPr>
              <w:t>%，不含税价</w:t>
            </w:r>
            <w:r>
              <w:rPr>
                <w:rFonts w:hint="eastAsia" w:ascii="仿宋" w:hAnsi="仿宋" w:eastAsia="仿宋" w:cs="仿宋"/>
                <w:kern w:val="0"/>
                <w:sz w:val="24"/>
                <w:u w:val="single"/>
              </w:rPr>
              <w:t xml:space="preserve">    </w:t>
            </w:r>
            <w:r>
              <w:rPr>
                <w:rFonts w:hint="eastAsia" w:ascii="仿宋" w:hAnsi="仿宋" w:eastAsia="仿宋" w:cs="仿宋"/>
                <w:kern w:val="0"/>
                <w:sz w:val="24"/>
              </w:rPr>
              <w:t>元，税额</w:t>
            </w:r>
            <w:r>
              <w:rPr>
                <w:rFonts w:hint="eastAsia" w:ascii="仿宋" w:hAnsi="仿宋" w:eastAsia="仿宋" w:cs="仿宋"/>
                <w:kern w:val="0"/>
                <w:sz w:val="24"/>
                <w:u w:val="single"/>
              </w:rPr>
              <w:t xml:space="preserve">     </w:t>
            </w:r>
            <w:r>
              <w:rPr>
                <w:rFonts w:hint="eastAsia" w:ascii="仿宋" w:hAnsi="仿宋" w:eastAsia="仿宋" w:cs="仿宋"/>
                <w:kern w:val="0"/>
                <w:sz w:val="24"/>
              </w:rPr>
              <w:t>元。</w:t>
            </w:r>
          </w:p>
          <w:p>
            <w:pPr>
              <w:pStyle w:val="5"/>
              <w:widowControl/>
              <w:spacing w:line="360" w:lineRule="auto"/>
              <w:ind w:firstLine="566" w:firstLineChars="236"/>
              <w:rPr>
                <w:rFonts w:ascii="仿宋" w:hAnsi="仿宋" w:eastAsia="仿宋" w:cs="仿宋"/>
                <w:kern w:val="0"/>
                <w:sz w:val="24"/>
              </w:rPr>
            </w:pPr>
            <w:r>
              <w:rPr>
                <w:rFonts w:hint="eastAsia" w:ascii="仿宋" w:hAnsi="仿宋" w:eastAsia="仿宋" w:cs="仿宋"/>
                <w:kern w:val="0"/>
                <w:sz w:val="24"/>
              </w:rPr>
              <w:t>合同金额已包含货物所涉及的有关项目的所有费用,包含货物的制造、包装、运输、装卸、保险、安装、调试、验收、专利、税费、售后服务。还要考虑其他乙方应缴的费用，合同中可能出现的索赔和变更以及可合理推断的责任和义务。</w:t>
            </w:r>
          </w:p>
        </w:tc>
      </w:tr>
    </w:tbl>
    <w:p>
      <w:pPr>
        <w:numPr>
          <w:ilvl w:val="255"/>
          <w:numId w:val="0"/>
        </w:numPr>
        <w:spacing w:line="500" w:lineRule="exact"/>
        <w:ind w:left="160"/>
        <w:rPr>
          <w:rFonts w:ascii="宋体" w:hAnsi="宋体" w:cs="宋体"/>
          <w:sz w:val="24"/>
        </w:rPr>
      </w:pPr>
    </w:p>
    <w:p>
      <w:pPr>
        <w:spacing w:line="480" w:lineRule="auto"/>
        <w:ind w:left="159"/>
        <w:rPr>
          <w:rFonts w:ascii="仿宋" w:hAnsi="仿宋" w:eastAsia="仿宋" w:cs="仿宋"/>
          <w:kern w:val="0"/>
          <w:sz w:val="32"/>
          <w:szCs w:val="32"/>
        </w:rPr>
      </w:pPr>
      <w:r>
        <w:rPr>
          <w:rFonts w:hint="eastAsia" w:ascii="仿宋" w:hAnsi="仿宋" w:eastAsia="仿宋" w:cs="仿宋"/>
          <w:kern w:val="0"/>
          <w:sz w:val="32"/>
          <w:szCs w:val="32"/>
        </w:rPr>
        <w:t>二、付款方式响应：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pPr>
        <w:spacing w:line="480" w:lineRule="auto"/>
        <w:ind w:left="159"/>
        <w:rPr>
          <w:rFonts w:ascii="仿宋" w:hAnsi="仿宋" w:eastAsia="仿宋" w:cs="仿宋"/>
          <w:kern w:val="0"/>
          <w:sz w:val="32"/>
          <w:szCs w:val="32"/>
        </w:rPr>
      </w:pPr>
      <w:r>
        <w:rPr>
          <w:rFonts w:hint="eastAsia" w:ascii="仿宋" w:hAnsi="仿宋" w:eastAsia="仿宋" w:cs="仿宋"/>
          <w:kern w:val="0"/>
          <w:sz w:val="32"/>
          <w:szCs w:val="32"/>
        </w:rPr>
        <w:t>三、质保期响应：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 xml:space="preserve">。 </w:t>
      </w:r>
    </w:p>
    <w:p>
      <w:pPr>
        <w:spacing w:line="480" w:lineRule="auto"/>
        <w:ind w:left="159"/>
        <w:rPr>
          <w:rFonts w:ascii="仿宋" w:hAnsi="仿宋" w:eastAsia="仿宋" w:cs="仿宋"/>
          <w:kern w:val="0"/>
          <w:sz w:val="32"/>
          <w:szCs w:val="32"/>
        </w:rPr>
      </w:pPr>
      <w:r>
        <w:rPr>
          <w:rFonts w:hint="eastAsia" w:ascii="仿宋" w:hAnsi="仿宋" w:eastAsia="仿宋" w:cs="仿宋"/>
          <w:kern w:val="0"/>
          <w:sz w:val="32"/>
          <w:szCs w:val="32"/>
        </w:rPr>
        <w:t>四、供货期响应：</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w:t>
      </w:r>
    </w:p>
    <w:p>
      <w:pPr>
        <w:spacing w:line="480" w:lineRule="auto"/>
        <w:ind w:left="159"/>
        <w:rPr>
          <w:rFonts w:ascii="仿宋" w:hAnsi="仿宋" w:eastAsia="仿宋" w:cs="仿宋"/>
          <w:kern w:val="0"/>
          <w:sz w:val="32"/>
          <w:szCs w:val="32"/>
        </w:rPr>
        <w:sectPr>
          <w:pgSz w:w="11906" w:h="16838"/>
          <w:pgMar w:top="1440" w:right="1080" w:bottom="1440" w:left="1080" w:header="851" w:footer="992" w:gutter="0"/>
          <w:pgNumType w:start="0"/>
          <w:cols w:space="720" w:num="1"/>
          <w:docGrid w:type="lines" w:linePitch="312" w:charSpace="0"/>
        </w:sectPr>
      </w:pPr>
      <w:r>
        <w:rPr>
          <w:rFonts w:hint="eastAsia" w:ascii="仿宋" w:hAnsi="仿宋" w:eastAsia="仿宋" w:cs="仿宋"/>
          <w:kern w:val="0"/>
          <w:sz w:val="32"/>
          <w:szCs w:val="32"/>
        </w:rPr>
        <w:t>五、附法人身份证复印件、营业执照复印件（ 加盖公章）</w:t>
      </w:r>
    </w:p>
    <w:p>
      <w:pPr>
        <w:spacing w:line="500" w:lineRule="exact"/>
        <w:jc w:val="left"/>
        <w:rPr>
          <w:rFonts w:ascii="仿宋" w:hAnsi="仿宋" w:eastAsia="仿宋" w:cs="仿宋"/>
          <w:kern w:val="0"/>
          <w:sz w:val="32"/>
          <w:szCs w:val="32"/>
        </w:rPr>
      </w:pPr>
      <w:r>
        <w:rPr>
          <w:rFonts w:hint="eastAsia" w:ascii="仿宋" w:hAnsi="仿宋" w:eastAsia="仿宋" w:cs="仿宋"/>
          <w:kern w:val="0"/>
          <w:sz w:val="32"/>
          <w:szCs w:val="32"/>
        </w:rPr>
        <w:t>附件4：技术标准和要求</w:t>
      </w:r>
    </w:p>
    <w:p>
      <w:pPr>
        <w:widowControl/>
        <w:spacing w:line="500" w:lineRule="exact"/>
        <w:jc w:val="left"/>
        <w:rPr>
          <w:rFonts w:ascii="仿宋" w:hAnsi="仿宋" w:eastAsia="仿宋" w:cs="仿宋"/>
          <w:kern w:val="0"/>
          <w:sz w:val="24"/>
        </w:rPr>
      </w:pPr>
      <w:r>
        <w:rPr>
          <w:rFonts w:hint="eastAsia" w:ascii="仿宋" w:hAnsi="仿宋" w:eastAsia="仿宋" w:cs="仿宋"/>
          <w:kern w:val="0"/>
          <w:sz w:val="24"/>
        </w:rPr>
        <w:t>拖挂式移动泵车应满足或优于下列指标：</w:t>
      </w:r>
    </w:p>
    <w:p>
      <w:pPr>
        <w:widowControl/>
        <w:spacing w:line="500" w:lineRule="exact"/>
        <w:jc w:val="left"/>
        <w:rPr>
          <w:rFonts w:ascii="仿宋" w:hAnsi="仿宋" w:eastAsia="仿宋" w:cs="仿宋"/>
          <w:kern w:val="0"/>
          <w:sz w:val="24"/>
        </w:rPr>
      </w:pPr>
    </w:p>
    <w:tbl>
      <w:tblPr>
        <w:tblStyle w:val="22"/>
        <w:tblW w:w="8782" w:type="dxa"/>
        <w:tblInd w:w="96" w:type="dxa"/>
        <w:tblLayout w:type="fixed"/>
        <w:tblCellMar>
          <w:top w:w="0" w:type="dxa"/>
          <w:left w:w="108" w:type="dxa"/>
          <w:bottom w:w="0" w:type="dxa"/>
          <w:right w:w="108" w:type="dxa"/>
        </w:tblCellMar>
      </w:tblPr>
      <w:tblGrid>
        <w:gridCol w:w="842"/>
        <w:gridCol w:w="740"/>
        <w:gridCol w:w="860"/>
        <w:gridCol w:w="760"/>
        <w:gridCol w:w="760"/>
        <w:gridCol w:w="980"/>
        <w:gridCol w:w="1120"/>
        <w:gridCol w:w="1020"/>
        <w:gridCol w:w="1700"/>
      </w:tblGrid>
      <w:tr>
        <w:tblPrEx>
          <w:tblCellMar>
            <w:top w:w="0" w:type="dxa"/>
            <w:left w:w="108" w:type="dxa"/>
            <w:bottom w:w="0" w:type="dxa"/>
            <w:right w:w="108" w:type="dxa"/>
          </w:tblCellMar>
        </w:tblPrEx>
        <w:trPr>
          <w:trHeight w:val="860" w:hRule="atLeast"/>
        </w:trPr>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40"/>
                <w:szCs w:val="40"/>
              </w:rPr>
            </w:pPr>
            <w:r>
              <w:rPr>
                <w:rFonts w:hint="eastAsia" w:ascii="仿宋" w:hAnsi="仿宋" w:eastAsia="仿宋" w:cs="仿宋"/>
                <w:color w:val="000000"/>
                <w:kern w:val="0"/>
                <w:sz w:val="40"/>
                <w:szCs w:val="40"/>
                <w:lang w:bidi="ar"/>
              </w:rPr>
              <w:t>性能参数要求</w:t>
            </w:r>
          </w:p>
        </w:tc>
      </w:tr>
      <w:tr>
        <w:tblPrEx>
          <w:tblCellMar>
            <w:top w:w="0" w:type="dxa"/>
            <w:left w:w="108" w:type="dxa"/>
            <w:bottom w:w="0" w:type="dxa"/>
            <w:right w:w="108" w:type="dxa"/>
          </w:tblCellMar>
        </w:tblPrEx>
        <w:trPr>
          <w:trHeight w:val="780" w:hRule="atLeast"/>
        </w:trPr>
        <w:tc>
          <w:tcPr>
            <w:tcW w:w="15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发电机</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水泵</w:t>
            </w:r>
          </w:p>
        </w:tc>
        <w:tc>
          <w:tcPr>
            <w:tcW w:w="76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流量m³/h</w:t>
            </w:r>
          </w:p>
        </w:tc>
        <w:tc>
          <w:tcPr>
            <w:tcW w:w="98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扬程m</w:t>
            </w:r>
          </w:p>
        </w:tc>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单泵电源线m</w:t>
            </w: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配套排水管m</w:t>
            </w:r>
          </w:p>
        </w:tc>
        <w:tc>
          <w:tcPr>
            <w:tcW w:w="17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备注</w:t>
            </w:r>
          </w:p>
        </w:tc>
      </w:tr>
      <w:tr>
        <w:tblPrEx>
          <w:tblCellMar>
            <w:top w:w="0" w:type="dxa"/>
            <w:left w:w="108" w:type="dxa"/>
            <w:bottom w:w="0" w:type="dxa"/>
            <w:right w:w="108" w:type="dxa"/>
          </w:tblCellMar>
        </w:tblPrEx>
        <w:trPr>
          <w:trHeight w:val="68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功率KW</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功率KW</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数量</w:t>
            </w:r>
          </w:p>
        </w:tc>
        <w:tc>
          <w:tcPr>
            <w:tcW w:w="76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98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c>
          <w:tcPr>
            <w:tcW w:w="17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 w:hAnsi="仿宋" w:eastAsia="仿宋" w:cs="仿宋"/>
                <w:color w:val="000000"/>
                <w:sz w:val="24"/>
              </w:rPr>
            </w:pPr>
          </w:p>
        </w:tc>
      </w:tr>
      <w:tr>
        <w:tblPrEx>
          <w:tblCellMar>
            <w:top w:w="0" w:type="dxa"/>
            <w:left w:w="108" w:type="dxa"/>
            <w:bottom w:w="0" w:type="dxa"/>
            <w:right w:w="108" w:type="dxa"/>
          </w:tblCellMar>
        </w:tblPrEx>
        <w:trPr>
          <w:trHeight w:val="1040" w:hRule="atLeast"/>
        </w:trPr>
        <w:tc>
          <w:tcPr>
            <w:tcW w:w="8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33</w:t>
            </w:r>
          </w:p>
        </w:tc>
        <w:tc>
          <w:tcPr>
            <w:tcW w:w="7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22</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w:t>
            </w:r>
          </w:p>
        </w:tc>
        <w:tc>
          <w:tcPr>
            <w:tcW w:w="7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500</w:t>
            </w:r>
          </w:p>
        </w:tc>
        <w:tc>
          <w:tcPr>
            <w:tcW w:w="9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10-15</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15-20</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含水泵控制系统，可拖挂，参考样式见下图</w:t>
            </w:r>
          </w:p>
        </w:tc>
      </w:tr>
    </w:tbl>
    <w:p>
      <w:pPr>
        <w:jc w:val="left"/>
        <w:rPr>
          <w:rFonts w:ascii="仿宋" w:hAnsi="仿宋" w:eastAsia="仿宋" w:cs="仿宋"/>
        </w:rPr>
      </w:pPr>
    </w:p>
    <w:p>
      <w:pPr>
        <w:jc w:val="left"/>
        <w:rPr>
          <w:rFonts w:ascii="仿宋" w:hAnsi="仿宋" w:eastAsia="仿宋" w:cs="仿宋"/>
        </w:rPr>
      </w:pPr>
      <w:r>
        <w:drawing>
          <wp:inline distT="0" distB="0" distL="114300" distR="114300">
            <wp:extent cx="4937125" cy="4227830"/>
            <wp:effectExtent l="0" t="0" r="635" b="8890"/>
            <wp:docPr id="1028" name="图片 1" descr="e04aeda41a93a4a7538ba19f7f1ab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图片 1" descr="e04aeda41a93a4a7538ba19f7f1abec"/>
                    <pic:cNvPicPr>
                      <a:picLocks noChangeAspect="1"/>
                    </pic:cNvPicPr>
                  </pic:nvPicPr>
                  <pic:blipFill>
                    <a:blip r:embed="rId6"/>
                    <a:stretch>
                      <a:fillRect/>
                    </a:stretch>
                  </pic:blipFill>
                  <pic:spPr>
                    <a:xfrm>
                      <a:off x="0" y="0"/>
                      <a:ext cx="4937125" cy="4227830"/>
                    </a:xfrm>
                    <a:prstGeom prst="rect">
                      <a:avLst/>
                    </a:prstGeom>
                    <a:noFill/>
                    <a:ln w="9525">
                      <a:noFill/>
                    </a:ln>
                  </pic:spPr>
                </pic:pic>
              </a:graphicData>
            </a:graphic>
          </wp:inline>
        </w:drawing>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p>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14"/>
                          </w:pPr>
                        </w:p>
                      </w:txbxContent>
                    </wps:txbx>
                    <wps:bodyPr vert="horz" wrap="none" lIns="0" tIns="0" rIns="0" bIns="0" anchor="t">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c2zg3gEAALsDAAAOAAAAAAAA&#10;AAEAIAAAAB4BAABkcnMvZTJvRG9jLnhtbFBLBQYAAAAABgAGAFkBAABuBQAAAAA=&#10;">
              <v:fill on="f" focussize="0,0"/>
              <v:stroke on="f"/>
              <v:imagedata o:title=""/>
              <o:lock v:ext="edit" aspectratio="f"/>
              <v:textbox inset="0mm,0mm,0mm,0mm" style="mso-fit-shape-to-text:t;">
                <w:txbxContent>
                  <w:p>
                    <w:pPr>
                      <w:pStyle w:val="14"/>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283A"/>
    <w:multiLevelType w:val="multilevel"/>
    <w:tmpl w:val="A836283A"/>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1">
    <w:nsid w:val="C1099832"/>
    <w:multiLevelType w:val="multilevel"/>
    <w:tmpl w:val="C1099832"/>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2">
    <w:nsid w:val="DADFC8A7"/>
    <w:multiLevelType w:val="multilevel"/>
    <w:tmpl w:val="DADFC8A7"/>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3">
    <w:nsid w:val="FB33EFF3"/>
    <w:multiLevelType w:val="multilevel"/>
    <w:tmpl w:val="FB33EFF3"/>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4">
    <w:nsid w:val="1ECA6A48"/>
    <w:multiLevelType w:val="multilevel"/>
    <w:tmpl w:val="1ECA6A48"/>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5">
    <w:nsid w:val="237448FA"/>
    <w:multiLevelType w:val="multilevel"/>
    <w:tmpl w:val="237448FA"/>
    <w:lvl w:ilvl="0" w:tentative="0">
      <w:start w:val="1"/>
      <w:numFmt w:val="decimal"/>
      <w:pStyle w:val="2"/>
      <w:lvlText w:val="%1."/>
      <w:lvlJc w:val="left"/>
      <w:pPr>
        <w:ind w:left="1470" w:firstLine="0"/>
      </w:pPr>
      <w:rPr>
        <w:rFonts w:hint="default"/>
      </w:rPr>
    </w:lvl>
    <w:lvl w:ilvl="1" w:tentative="0">
      <w:start w:val="1"/>
      <w:numFmt w:val="decimal"/>
      <w:pStyle w:val="3"/>
      <w:suff w:val="space"/>
      <w:lvlText w:val="%1.%2."/>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sz w:val="28"/>
        <w:szCs w:val="28"/>
        <w:u w:val="none"/>
        <w:vertAlign w:val="baseline"/>
        <w14:shadow w14:blurRad="0" w14:dist="0" w14:dir="0" w14:sx="0" w14:sy="0" w14:kx="0" w14:ky="0" w14:algn="none">
          <w14:srgbClr w14:val="000000"/>
        </w14:shadow>
      </w:rPr>
    </w:lvl>
    <w:lvl w:ilvl="2" w:tentative="0">
      <w:start w:val="1"/>
      <w:numFmt w:val="decimal"/>
      <w:pStyle w:val="4"/>
      <w:lvlText w:val="%1.%2.%3."/>
      <w:lvlJc w:val="left"/>
      <w:pPr>
        <w:ind w:left="147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3" w:tentative="0">
      <w:start w:val="1"/>
      <w:numFmt w:val="decimal"/>
      <w:lvlText w:val="%1.%2.%3.%4."/>
      <w:lvlJc w:val="left"/>
      <w:pPr>
        <w:ind w:left="2334" w:hanging="864"/>
      </w:pPr>
      <w:rPr>
        <w:rFonts w:hint="default"/>
      </w:rPr>
    </w:lvl>
    <w:lvl w:ilvl="4" w:tentative="0">
      <w:start w:val="1"/>
      <w:numFmt w:val="decimal"/>
      <w:lvlText w:val="%1.%2.%3.%4.%5."/>
      <w:lvlJc w:val="left"/>
      <w:pPr>
        <w:ind w:left="2478" w:hanging="1008"/>
      </w:pPr>
      <w:rPr>
        <w:rFonts w:hint="default"/>
      </w:rPr>
    </w:lvl>
    <w:lvl w:ilvl="5" w:tentative="0">
      <w:start w:val="1"/>
      <w:numFmt w:val="decimal"/>
      <w:lvlText w:val="%1.%2.%3.%4.%5.%6."/>
      <w:lvlJc w:val="left"/>
      <w:pPr>
        <w:ind w:left="2621" w:hanging="1151"/>
      </w:pPr>
      <w:rPr>
        <w:rFonts w:hint="default"/>
      </w:rPr>
    </w:lvl>
    <w:lvl w:ilvl="6" w:tentative="0">
      <w:start w:val="1"/>
      <w:numFmt w:val="decimal"/>
      <w:lvlText w:val="%1.%2.%3.%4.%5.%6.%7."/>
      <w:lvlJc w:val="left"/>
      <w:pPr>
        <w:ind w:left="2766" w:hanging="1296"/>
      </w:pPr>
      <w:rPr>
        <w:rFonts w:hint="default"/>
      </w:rPr>
    </w:lvl>
    <w:lvl w:ilvl="7" w:tentative="0">
      <w:start w:val="1"/>
      <w:numFmt w:val="decimal"/>
      <w:lvlText w:val="%1.%2.%3.%4.%5.%6.%7.%8."/>
      <w:lvlJc w:val="left"/>
      <w:pPr>
        <w:ind w:left="2910" w:hanging="1440"/>
      </w:pPr>
      <w:rPr>
        <w:rFonts w:hint="default"/>
      </w:rPr>
    </w:lvl>
    <w:lvl w:ilvl="8" w:tentative="0">
      <w:start w:val="1"/>
      <w:numFmt w:val="decimal"/>
      <w:lvlText w:val="%1.%2.%3.%4.%5.%6.%7.%8.%9."/>
      <w:lvlJc w:val="left"/>
      <w:pPr>
        <w:ind w:left="3053" w:hanging="1583"/>
      </w:pPr>
      <w:rPr>
        <w:rFonts w:hint="default"/>
      </w:rPr>
    </w:lvl>
  </w:abstractNum>
  <w:abstractNum w:abstractNumId="6">
    <w:nsid w:val="4EE2FCAD"/>
    <w:multiLevelType w:val="multilevel"/>
    <w:tmpl w:val="4EE2FCAD"/>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abstractNum w:abstractNumId="7">
    <w:nsid w:val="76125571"/>
    <w:multiLevelType w:val="multilevel"/>
    <w:tmpl w:val="76125571"/>
    <w:lvl w:ilvl="0" w:tentative="0">
      <w:start w:val="1"/>
      <w:numFmt w:val="chineseCounting"/>
      <w:suff w:val="space"/>
      <w:lvlText w:val="第%1条"/>
      <w:lvlJc w:val="left"/>
      <w:rPr>
        <w:rFonts w:hint="eastAsia"/>
      </w:rPr>
    </w:lvl>
    <w:lvl w:ilvl="1" w:tentative="0">
      <w:start w:val="1"/>
      <w:numFmt w:val="chineseCounting"/>
      <w:suff w:val="nothing"/>
      <w:lvlText w:val="%2、"/>
      <w:lvlJc w:val="left"/>
      <w:rPr>
        <w:rFonts w:hint="eastAsia"/>
      </w:rPr>
    </w:lvl>
    <w:lvl w:ilvl="2" w:tentative="0">
      <w:start w:val="1"/>
      <w:numFmt w:val="chineseCounting"/>
      <w:suff w:val="nothing"/>
      <w:lvlText w:val="（%3）"/>
      <w:lvlJc w:val="left"/>
      <w:rPr>
        <w:rFonts w:hint="eastAsia"/>
      </w:rPr>
    </w:lvl>
    <w:lvl w:ilvl="3" w:tentative="0">
      <w:start w:val="1"/>
      <w:numFmt w:val="decimal"/>
      <w:suff w:val="nothing"/>
      <w:lvlText w:val="%4．"/>
      <w:lvlJc w:val="left"/>
      <w:rPr>
        <w:rFonts w:hint="eastAsia"/>
      </w:rPr>
    </w:lvl>
    <w:lvl w:ilvl="4" w:tentative="0">
      <w:start w:val="1"/>
      <w:numFmt w:val="decimal"/>
      <w:suff w:val="nothing"/>
      <w:lvlText w:val="（%5）"/>
      <w:lvlJc w:val="left"/>
      <w:rPr>
        <w:rFonts w:hint="eastAsia"/>
      </w:rPr>
    </w:lvl>
    <w:lvl w:ilvl="5" w:tentative="0">
      <w:start w:val="1"/>
      <w:numFmt w:val="decimalEnclosedCircleChinese"/>
      <w:suff w:val="nothing"/>
      <w:lvlText w:val="%6"/>
      <w:lvlJc w:val="left"/>
      <w:rPr>
        <w:rFonts w:hint="eastAsia"/>
      </w:rPr>
    </w:lvl>
    <w:lvl w:ilvl="6" w:tentative="0">
      <w:start w:val="1"/>
      <w:numFmt w:val="decimal"/>
      <w:suff w:val="nothing"/>
      <w:lvlText w:val="%7）"/>
      <w:lvlJc w:val="left"/>
      <w:rPr>
        <w:rFonts w:hint="eastAsia"/>
      </w:rPr>
    </w:lvl>
    <w:lvl w:ilvl="7" w:tentative="0">
      <w:start w:val="1"/>
      <w:numFmt w:val="lowerLetter"/>
      <w:suff w:val="nothing"/>
      <w:lvlText w:val="%8．"/>
      <w:lvlJc w:val="left"/>
      <w:rPr>
        <w:rFonts w:hint="eastAsia"/>
      </w:rPr>
    </w:lvl>
    <w:lvl w:ilvl="8" w:tentative="0">
      <w:start w:val="1"/>
      <w:numFmt w:val="lowerLetter"/>
      <w:suff w:val="nothing"/>
      <w:lvlText w:val="%9）"/>
      <w:lvlJc w:val="left"/>
      <w:rPr>
        <w:rFonts w:hint="eastAsia"/>
      </w:rPr>
    </w:lvl>
  </w:abstractNum>
  <w:num w:numId="1">
    <w:abstractNumId w:val="5"/>
  </w:num>
  <w:num w:numId="2">
    <w:abstractNumId w:val="6"/>
  </w:num>
  <w:num w:numId="3">
    <w:abstractNumId w:val="0"/>
  </w:num>
  <w:num w:numId="4">
    <w:abstractNumId w:val="7"/>
  </w:num>
  <w:num w:numId="5">
    <w:abstractNumId w:val="2"/>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FlNjMzNDNkMTEyNzljZDQwYWI4ZmJjMzRlMTAifQ=="/>
  </w:docVars>
  <w:rsids>
    <w:rsidRoot w:val="009F0430"/>
    <w:rsid w:val="00001A68"/>
    <w:rsid w:val="000212F2"/>
    <w:rsid w:val="0004258A"/>
    <w:rsid w:val="00055294"/>
    <w:rsid w:val="00067916"/>
    <w:rsid w:val="00070454"/>
    <w:rsid w:val="0007352F"/>
    <w:rsid w:val="00074B47"/>
    <w:rsid w:val="000A346A"/>
    <w:rsid w:val="000D7F59"/>
    <w:rsid w:val="000F018C"/>
    <w:rsid w:val="000F44C3"/>
    <w:rsid w:val="00101AD2"/>
    <w:rsid w:val="0012007C"/>
    <w:rsid w:val="00143C42"/>
    <w:rsid w:val="00144742"/>
    <w:rsid w:val="001640B2"/>
    <w:rsid w:val="00184094"/>
    <w:rsid w:val="00193097"/>
    <w:rsid w:val="001C19DA"/>
    <w:rsid w:val="001C4EB5"/>
    <w:rsid w:val="001C69EA"/>
    <w:rsid w:val="001E73F2"/>
    <w:rsid w:val="001F3311"/>
    <w:rsid w:val="001F3618"/>
    <w:rsid w:val="00225CA9"/>
    <w:rsid w:val="00242203"/>
    <w:rsid w:val="00257B63"/>
    <w:rsid w:val="00275321"/>
    <w:rsid w:val="002C1E2A"/>
    <w:rsid w:val="002E43D7"/>
    <w:rsid w:val="002F0A8E"/>
    <w:rsid w:val="002F1035"/>
    <w:rsid w:val="0035212F"/>
    <w:rsid w:val="00361875"/>
    <w:rsid w:val="00365F96"/>
    <w:rsid w:val="00395E6B"/>
    <w:rsid w:val="003A2324"/>
    <w:rsid w:val="003B6679"/>
    <w:rsid w:val="003C7562"/>
    <w:rsid w:val="003D2B2D"/>
    <w:rsid w:val="003F4A32"/>
    <w:rsid w:val="004145E2"/>
    <w:rsid w:val="004275D5"/>
    <w:rsid w:val="00433C1C"/>
    <w:rsid w:val="0043723D"/>
    <w:rsid w:val="00462BE1"/>
    <w:rsid w:val="004B6266"/>
    <w:rsid w:val="004D5CC1"/>
    <w:rsid w:val="004E6FF5"/>
    <w:rsid w:val="004F449D"/>
    <w:rsid w:val="004F52A2"/>
    <w:rsid w:val="00501348"/>
    <w:rsid w:val="005131E1"/>
    <w:rsid w:val="005258BD"/>
    <w:rsid w:val="00527F3B"/>
    <w:rsid w:val="00551CC7"/>
    <w:rsid w:val="00552344"/>
    <w:rsid w:val="0058542C"/>
    <w:rsid w:val="00592F42"/>
    <w:rsid w:val="005B133A"/>
    <w:rsid w:val="005D0CF1"/>
    <w:rsid w:val="005D5471"/>
    <w:rsid w:val="005E7A64"/>
    <w:rsid w:val="005F2B0E"/>
    <w:rsid w:val="005F3AA8"/>
    <w:rsid w:val="00600FC0"/>
    <w:rsid w:val="00687A3C"/>
    <w:rsid w:val="006963F2"/>
    <w:rsid w:val="006A381D"/>
    <w:rsid w:val="006B7385"/>
    <w:rsid w:val="006C2AEA"/>
    <w:rsid w:val="006D4FD4"/>
    <w:rsid w:val="006E1DE6"/>
    <w:rsid w:val="006F6056"/>
    <w:rsid w:val="007030A1"/>
    <w:rsid w:val="007229DE"/>
    <w:rsid w:val="007372C7"/>
    <w:rsid w:val="007414A0"/>
    <w:rsid w:val="0075035E"/>
    <w:rsid w:val="007821E2"/>
    <w:rsid w:val="00792429"/>
    <w:rsid w:val="007A62F4"/>
    <w:rsid w:val="007A653D"/>
    <w:rsid w:val="007A7026"/>
    <w:rsid w:val="007B5EAC"/>
    <w:rsid w:val="007C2795"/>
    <w:rsid w:val="007F78C0"/>
    <w:rsid w:val="00814106"/>
    <w:rsid w:val="00831A5A"/>
    <w:rsid w:val="0085614A"/>
    <w:rsid w:val="00860CE9"/>
    <w:rsid w:val="0086185B"/>
    <w:rsid w:val="0086555A"/>
    <w:rsid w:val="00867DB1"/>
    <w:rsid w:val="008A57E3"/>
    <w:rsid w:val="008B6D9E"/>
    <w:rsid w:val="008E276E"/>
    <w:rsid w:val="009010BD"/>
    <w:rsid w:val="00901D5C"/>
    <w:rsid w:val="00985B06"/>
    <w:rsid w:val="00994EAD"/>
    <w:rsid w:val="009B0344"/>
    <w:rsid w:val="009D34A7"/>
    <w:rsid w:val="009F0430"/>
    <w:rsid w:val="009F3F75"/>
    <w:rsid w:val="00A05C6F"/>
    <w:rsid w:val="00A34917"/>
    <w:rsid w:val="00A43251"/>
    <w:rsid w:val="00A43D84"/>
    <w:rsid w:val="00A47A5F"/>
    <w:rsid w:val="00A50F50"/>
    <w:rsid w:val="00A60036"/>
    <w:rsid w:val="00A741ED"/>
    <w:rsid w:val="00A9302E"/>
    <w:rsid w:val="00AA05D0"/>
    <w:rsid w:val="00AC39EA"/>
    <w:rsid w:val="00AF67B8"/>
    <w:rsid w:val="00B02579"/>
    <w:rsid w:val="00B32C9E"/>
    <w:rsid w:val="00B377E0"/>
    <w:rsid w:val="00B40428"/>
    <w:rsid w:val="00B505F4"/>
    <w:rsid w:val="00B6442A"/>
    <w:rsid w:val="00B6711C"/>
    <w:rsid w:val="00B84AC3"/>
    <w:rsid w:val="00BA6ED2"/>
    <w:rsid w:val="00BA7C69"/>
    <w:rsid w:val="00BE45B1"/>
    <w:rsid w:val="00BF02FF"/>
    <w:rsid w:val="00C03C73"/>
    <w:rsid w:val="00C15730"/>
    <w:rsid w:val="00C35F62"/>
    <w:rsid w:val="00C368FE"/>
    <w:rsid w:val="00C66451"/>
    <w:rsid w:val="00C9118A"/>
    <w:rsid w:val="00C92695"/>
    <w:rsid w:val="00C954B4"/>
    <w:rsid w:val="00CA27A4"/>
    <w:rsid w:val="00CD66B7"/>
    <w:rsid w:val="00D05148"/>
    <w:rsid w:val="00D11D0F"/>
    <w:rsid w:val="00D35262"/>
    <w:rsid w:val="00D36C3B"/>
    <w:rsid w:val="00D42F9A"/>
    <w:rsid w:val="00D46FF3"/>
    <w:rsid w:val="00D55351"/>
    <w:rsid w:val="00D62AD1"/>
    <w:rsid w:val="00D665B4"/>
    <w:rsid w:val="00D81ED7"/>
    <w:rsid w:val="00D86B89"/>
    <w:rsid w:val="00DB4E47"/>
    <w:rsid w:val="00DC5CAD"/>
    <w:rsid w:val="00DE4790"/>
    <w:rsid w:val="00E16E75"/>
    <w:rsid w:val="00E266A5"/>
    <w:rsid w:val="00E45750"/>
    <w:rsid w:val="00E4694A"/>
    <w:rsid w:val="00E54784"/>
    <w:rsid w:val="00E658B9"/>
    <w:rsid w:val="00E82E67"/>
    <w:rsid w:val="00EF1C58"/>
    <w:rsid w:val="00F002C0"/>
    <w:rsid w:val="00F21F20"/>
    <w:rsid w:val="00F50B55"/>
    <w:rsid w:val="00F67479"/>
    <w:rsid w:val="00F70843"/>
    <w:rsid w:val="00F81386"/>
    <w:rsid w:val="00FB52AF"/>
    <w:rsid w:val="00FC035D"/>
    <w:rsid w:val="00FC28AE"/>
    <w:rsid w:val="02030C62"/>
    <w:rsid w:val="02831C4F"/>
    <w:rsid w:val="02AA3857"/>
    <w:rsid w:val="04096F7B"/>
    <w:rsid w:val="04791B79"/>
    <w:rsid w:val="047B084D"/>
    <w:rsid w:val="04E61F22"/>
    <w:rsid w:val="04F26A8D"/>
    <w:rsid w:val="05B20D40"/>
    <w:rsid w:val="05B92F67"/>
    <w:rsid w:val="05FE126D"/>
    <w:rsid w:val="06836A98"/>
    <w:rsid w:val="06EF7A57"/>
    <w:rsid w:val="070A5096"/>
    <w:rsid w:val="07BC4B8E"/>
    <w:rsid w:val="095313EC"/>
    <w:rsid w:val="09815DAE"/>
    <w:rsid w:val="09827585"/>
    <w:rsid w:val="0A196286"/>
    <w:rsid w:val="0B0973CC"/>
    <w:rsid w:val="0B3E07B5"/>
    <w:rsid w:val="0B6C225B"/>
    <w:rsid w:val="0B6F5563"/>
    <w:rsid w:val="0B8E0BDE"/>
    <w:rsid w:val="0BB804FD"/>
    <w:rsid w:val="0C235D79"/>
    <w:rsid w:val="0CB45CBF"/>
    <w:rsid w:val="0CC453E2"/>
    <w:rsid w:val="0D654F9A"/>
    <w:rsid w:val="0D872E6D"/>
    <w:rsid w:val="0DC05C49"/>
    <w:rsid w:val="0DC87D56"/>
    <w:rsid w:val="0E4638B8"/>
    <w:rsid w:val="0F2471A4"/>
    <w:rsid w:val="0FA97E88"/>
    <w:rsid w:val="0FE83B0C"/>
    <w:rsid w:val="10F62635"/>
    <w:rsid w:val="112A22DF"/>
    <w:rsid w:val="11BE3DFB"/>
    <w:rsid w:val="13110F0C"/>
    <w:rsid w:val="13744342"/>
    <w:rsid w:val="13FA2641"/>
    <w:rsid w:val="142B6F4B"/>
    <w:rsid w:val="146F51F4"/>
    <w:rsid w:val="15CE27F0"/>
    <w:rsid w:val="16357658"/>
    <w:rsid w:val="16996F47"/>
    <w:rsid w:val="17EF7DDE"/>
    <w:rsid w:val="185176B2"/>
    <w:rsid w:val="185A73B8"/>
    <w:rsid w:val="193D4E8F"/>
    <w:rsid w:val="19C823C3"/>
    <w:rsid w:val="1A66453C"/>
    <w:rsid w:val="1AB74319"/>
    <w:rsid w:val="1AD82ED4"/>
    <w:rsid w:val="1AE741CC"/>
    <w:rsid w:val="1AFA5418"/>
    <w:rsid w:val="1B120284"/>
    <w:rsid w:val="1C4E08B2"/>
    <w:rsid w:val="1D42117A"/>
    <w:rsid w:val="1D5A3F66"/>
    <w:rsid w:val="1D9C77F2"/>
    <w:rsid w:val="1DC26636"/>
    <w:rsid w:val="1DC419F5"/>
    <w:rsid w:val="1E056F5C"/>
    <w:rsid w:val="1E3D3AF5"/>
    <w:rsid w:val="20D70025"/>
    <w:rsid w:val="215343A9"/>
    <w:rsid w:val="21C63EB0"/>
    <w:rsid w:val="2206787C"/>
    <w:rsid w:val="22777F3C"/>
    <w:rsid w:val="22FB235D"/>
    <w:rsid w:val="239F2EE7"/>
    <w:rsid w:val="23A82B36"/>
    <w:rsid w:val="24492B1A"/>
    <w:rsid w:val="245908E0"/>
    <w:rsid w:val="2530219E"/>
    <w:rsid w:val="25D118F9"/>
    <w:rsid w:val="26150399"/>
    <w:rsid w:val="26504B41"/>
    <w:rsid w:val="265239FF"/>
    <w:rsid w:val="27225ADA"/>
    <w:rsid w:val="286F636A"/>
    <w:rsid w:val="287D6531"/>
    <w:rsid w:val="292F5C81"/>
    <w:rsid w:val="2983071B"/>
    <w:rsid w:val="298D69BF"/>
    <w:rsid w:val="2A252A7A"/>
    <w:rsid w:val="2A2C3067"/>
    <w:rsid w:val="2AA414D5"/>
    <w:rsid w:val="2AD07F5B"/>
    <w:rsid w:val="2B813726"/>
    <w:rsid w:val="2C2B3539"/>
    <w:rsid w:val="2C476CA4"/>
    <w:rsid w:val="2C9A76BC"/>
    <w:rsid w:val="2CD75CC3"/>
    <w:rsid w:val="2DFB3D78"/>
    <w:rsid w:val="2E8E2039"/>
    <w:rsid w:val="2ECB6A58"/>
    <w:rsid w:val="2F526AE0"/>
    <w:rsid w:val="3049604F"/>
    <w:rsid w:val="305934BB"/>
    <w:rsid w:val="30771291"/>
    <w:rsid w:val="30950EA0"/>
    <w:rsid w:val="30A90681"/>
    <w:rsid w:val="30BB66FD"/>
    <w:rsid w:val="31B402DB"/>
    <w:rsid w:val="31D95AB0"/>
    <w:rsid w:val="324A4B98"/>
    <w:rsid w:val="328D779C"/>
    <w:rsid w:val="32F10A57"/>
    <w:rsid w:val="339D7922"/>
    <w:rsid w:val="34490400"/>
    <w:rsid w:val="34AC36CB"/>
    <w:rsid w:val="361467CD"/>
    <w:rsid w:val="36BE6A66"/>
    <w:rsid w:val="36D962FB"/>
    <w:rsid w:val="36EA3927"/>
    <w:rsid w:val="36FA1570"/>
    <w:rsid w:val="3757353B"/>
    <w:rsid w:val="375D66BB"/>
    <w:rsid w:val="3822188F"/>
    <w:rsid w:val="38E247F0"/>
    <w:rsid w:val="398C3F31"/>
    <w:rsid w:val="399D5252"/>
    <w:rsid w:val="3A0E466B"/>
    <w:rsid w:val="3AB24375"/>
    <w:rsid w:val="3B0449E9"/>
    <w:rsid w:val="3B420685"/>
    <w:rsid w:val="3B904699"/>
    <w:rsid w:val="3BA90D51"/>
    <w:rsid w:val="3BAE21CC"/>
    <w:rsid w:val="3BC60738"/>
    <w:rsid w:val="3E2A4B9A"/>
    <w:rsid w:val="3E822C12"/>
    <w:rsid w:val="3EBC36EA"/>
    <w:rsid w:val="3EC91A55"/>
    <w:rsid w:val="3F2D5101"/>
    <w:rsid w:val="3F3B267B"/>
    <w:rsid w:val="3FCA73F2"/>
    <w:rsid w:val="404935D4"/>
    <w:rsid w:val="408A2E53"/>
    <w:rsid w:val="40FB4687"/>
    <w:rsid w:val="414D3566"/>
    <w:rsid w:val="416D4D11"/>
    <w:rsid w:val="41927CAE"/>
    <w:rsid w:val="41A8677D"/>
    <w:rsid w:val="41B7144E"/>
    <w:rsid w:val="42760B78"/>
    <w:rsid w:val="42F123BB"/>
    <w:rsid w:val="43416BDE"/>
    <w:rsid w:val="438F475D"/>
    <w:rsid w:val="4396047D"/>
    <w:rsid w:val="43A610EB"/>
    <w:rsid w:val="43C36F47"/>
    <w:rsid w:val="43D56101"/>
    <w:rsid w:val="44D37FBC"/>
    <w:rsid w:val="4540008C"/>
    <w:rsid w:val="457E0B0D"/>
    <w:rsid w:val="45C35564"/>
    <w:rsid w:val="45C760A6"/>
    <w:rsid w:val="47107B3F"/>
    <w:rsid w:val="478257BF"/>
    <w:rsid w:val="478F072A"/>
    <w:rsid w:val="48C9090C"/>
    <w:rsid w:val="49FD3BF5"/>
    <w:rsid w:val="4A626B43"/>
    <w:rsid w:val="4AD7783A"/>
    <w:rsid w:val="4AF279C8"/>
    <w:rsid w:val="4B350222"/>
    <w:rsid w:val="4B7C1424"/>
    <w:rsid w:val="4B8177E5"/>
    <w:rsid w:val="4BAB3A41"/>
    <w:rsid w:val="4C902BE9"/>
    <w:rsid w:val="4D1A7F48"/>
    <w:rsid w:val="4D203FBB"/>
    <w:rsid w:val="4D344E45"/>
    <w:rsid w:val="4D686EAB"/>
    <w:rsid w:val="4D7E4E08"/>
    <w:rsid w:val="4D9A28BB"/>
    <w:rsid w:val="4E1E65ED"/>
    <w:rsid w:val="4F42646A"/>
    <w:rsid w:val="4FA6489B"/>
    <w:rsid w:val="4FD47450"/>
    <w:rsid w:val="50C12B86"/>
    <w:rsid w:val="50EB57D5"/>
    <w:rsid w:val="51A378CF"/>
    <w:rsid w:val="51EB5064"/>
    <w:rsid w:val="51F71EA3"/>
    <w:rsid w:val="527530E7"/>
    <w:rsid w:val="55D171D7"/>
    <w:rsid w:val="564C6BAF"/>
    <w:rsid w:val="572B7FAF"/>
    <w:rsid w:val="573910BF"/>
    <w:rsid w:val="574F3694"/>
    <w:rsid w:val="577543A9"/>
    <w:rsid w:val="57C6278D"/>
    <w:rsid w:val="57C82B41"/>
    <w:rsid w:val="581D62FA"/>
    <w:rsid w:val="5907397C"/>
    <w:rsid w:val="5A087AC2"/>
    <w:rsid w:val="5A2F4BFB"/>
    <w:rsid w:val="5A390D1E"/>
    <w:rsid w:val="5A7D0D70"/>
    <w:rsid w:val="5AF4393C"/>
    <w:rsid w:val="5B714528"/>
    <w:rsid w:val="5B820BE7"/>
    <w:rsid w:val="5B895418"/>
    <w:rsid w:val="5CA86C4F"/>
    <w:rsid w:val="5D4A3D7C"/>
    <w:rsid w:val="5D593C15"/>
    <w:rsid w:val="5DD12B9C"/>
    <w:rsid w:val="5E92531F"/>
    <w:rsid w:val="5E9C00ED"/>
    <w:rsid w:val="5EA87BB5"/>
    <w:rsid w:val="5F617B96"/>
    <w:rsid w:val="5FC74D74"/>
    <w:rsid w:val="5FEB1070"/>
    <w:rsid w:val="603D72D6"/>
    <w:rsid w:val="60AD6134"/>
    <w:rsid w:val="617C10BC"/>
    <w:rsid w:val="61A34C11"/>
    <w:rsid w:val="61F2160F"/>
    <w:rsid w:val="64405A5B"/>
    <w:rsid w:val="64942F24"/>
    <w:rsid w:val="64CA5A90"/>
    <w:rsid w:val="65185B12"/>
    <w:rsid w:val="658007FD"/>
    <w:rsid w:val="65C2569B"/>
    <w:rsid w:val="66FD5090"/>
    <w:rsid w:val="67444AD8"/>
    <w:rsid w:val="68391003"/>
    <w:rsid w:val="688C33BC"/>
    <w:rsid w:val="695C073C"/>
    <w:rsid w:val="699C64D9"/>
    <w:rsid w:val="6B2F1B41"/>
    <w:rsid w:val="6C0C39E7"/>
    <w:rsid w:val="6CB610AF"/>
    <w:rsid w:val="6CD6565D"/>
    <w:rsid w:val="6CDF48FC"/>
    <w:rsid w:val="6CEC500A"/>
    <w:rsid w:val="6D007E02"/>
    <w:rsid w:val="6DD71FC4"/>
    <w:rsid w:val="6DFB42FF"/>
    <w:rsid w:val="6EBE18E7"/>
    <w:rsid w:val="6EC15DE4"/>
    <w:rsid w:val="6EF07839"/>
    <w:rsid w:val="6EF83DD8"/>
    <w:rsid w:val="6EFA607D"/>
    <w:rsid w:val="6F1F19DF"/>
    <w:rsid w:val="6F56267C"/>
    <w:rsid w:val="6FF858D3"/>
    <w:rsid w:val="7044184B"/>
    <w:rsid w:val="70464F12"/>
    <w:rsid w:val="708C6765"/>
    <w:rsid w:val="70DD40D0"/>
    <w:rsid w:val="712D31CF"/>
    <w:rsid w:val="718D2201"/>
    <w:rsid w:val="71B46363"/>
    <w:rsid w:val="71E157B0"/>
    <w:rsid w:val="72693796"/>
    <w:rsid w:val="73B70AA5"/>
    <w:rsid w:val="73D7583C"/>
    <w:rsid w:val="74106716"/>
    <w:rsid w:val="74412D23"/>
    <w:rsid w:val="74D22ECD"/>
    <w:rsid w:val="758672B5"/>
    <w:rsid w:val="76225FA7"/>
    <w:rsid w:val="76BD4052"/>
    <w:rsid w:val="76D27DBD"/>
    <w:rsid w:val="77226D47"/>
    <w:rsid w:val="772A42DA"/>
    <w:rsid w:val="773F3631"/>
    <w:rsid w:val="77F9775E"/>
    <w:rsid w:val="782A463F"/>
    <w:rsid w:val="784268D7"/>
    <w:rsid w:val="78EC1F30"/>
    <w:rsid w:val="78FC0AD4"/>
    <w:rsid w:val="79764DDF"/>
    <w:rsid w:val="7BB21A08"/>
    <w:rsid w:val="7C305674"/>
    <w:rsid w:val="7C3D12BE"/>
    <w:rsid w:val="7C584F4F"/>
    <w:rsid w:val="7C6A6979"/>
    <w:rsid w:val="7C9E11E7"/>
    <w:rsid w:val="7CC92FB9"/>
    <w:rsid w:val="7D341A05"/>
    <w:rsid w:val="7D52006B"/>
    <w:rsid w:val="7D5E5240"/>
    <w:rsid w:val="7D8A413A"/>
    <w:rsid w:val="7E3F2C7B"/>
    <w:rsid w:val="7ECF14D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3"/>
    <w:qFormat/>
    <w:uiPriority w:val="9"/>
    <w:pPr>
      <w:keepNext/>
      <w:keepLines/>
      <w:numPr>
        <w:ilvl w:val="0"/>
        <w:numId w:val="1"/>
      </w:numPr>
      <w:spacing w:before="120" w:after="120"/>
      <w:outlineLvl w:val="0"/>
    </w:pPr>
    <w:rPr>
      <w:b/>
      <w:bCs/>
      <w:kern w:val="44"/>
      <w:sz w:val="32"/>
      <w:szCs w:val="44"/>
    </w:rPr>
  </w:style>
  <w:style w:type="paragraph" w:styleId="3">
    <w:name w:val="heading 2"/>
    <w:basedOn w:val="1"/>
    <w:next w:val="1"/>
    <w:unhideWhenUsed/>
    <w:qFormat/>
    <w:uiPriority w:val="9"/>
    <w:pPr>
      <w:keepNext/>
      <w:keepLines/>
      <w:numPr>
        <w:ilvl w:val="1"/>
        <w:numId w:val="1"/>
      </w:numPr>
      <w:spacing w:beforeLines="50"/>
      <w:outlineLvl w:val="1"/>
    </w:pPr>
    <w:rPr>
      <w:b/>
      <w:bCs/>
      <w:sz w:val="28"/>
      <w:szCs w:val="32"/>
    </w:rPr>
  </w:style>
  <w:style w:type="paragraph" w:styleId="4">
    <w:name w:val="heading 3"/>
    <w:basedOn w:val="1"/>
    <w:next w:val="1"/>
    <w:unhideWhenUsed/>
    <w:qFormat/>
    <w:uiPriority w:val="9"/>
    <w:pPr>
      <w:keepNext/>
      <w:keepLines/>
      <w:numPr>
        <w:ilvl w:val="2"/>
        <w:numId w:val="1"/>
      </w:numPr>
      <w:spacing w:before="120" w:after="260"/>
      <w:outlineLvl w:val="2"/>
    </w:pPr>
    <w:rPr>
      <w:b/>
      <w:bCs/>
      <w:sz w:val="28"/>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57"/>
    <w:semiHidden/>
    <w:unhideWhenUsed/>
    <w:qFormat/>
    <w:uiPriority w:val="99"/>
    <w:pPr>
      <w:jc w:val="left"/>
    </w:pPr>
  </w:style>
  <w:style w:type="paragraph" w:styleId="6">
    <w:name w:val="Body Text"/>
    <w:basedOn w:val="1"/>
    <w:next w:val="7"/>
    <w:qFormat/>
    <w:uiPriority w:val="0"/>
    <w:pPr>
      <w:spacing w:after="120"/>
    </w:pPr>
    <w:rPr>
      <w:rFonts w:ascii="Verdana" w:hAnsi="Verdana"/>
    </w:rPr>
  </w:style>
  <w:style w:type="paragraph" w:customStyle="1" w:styleId="7">
    <w:name w:val="Default"/>
    <w:next w:val="1"/>
    <w:qFormat/>
    <w:uiPriority w:val="99"/>
    <w:pPr>
      <w:widowControl w:val="0"/>
      <w:spacing w:line="360" w:lineRule="atLeast"/>
      <w:jc w:val="both"/>
    </w:pPr>
    <w:rPr>
      <w:rFonts w:ascii="宋体" w:hAnsi="宋体" w:eastAsia="宋体" w:cs="宋体"/>
      <w:color w:val="000000"/>
      <w:sz w:val="24"/>
      <w:szCs w:val="24"/>
      <w:lang w:val="en-US" w:eastAsia="zh-CN" w:bidi="ar-SA"/>
    </w:rPr>
  </w:style>
  <w:style w:type="paragraph" w:styleId="8">
    <w:name w:val="Body Text Indent"/>
    <w:basedOn w:val="1"/>
    <w:next w:val="9"/>
    <w:unhideWhenUsed/>
    <w:qFormat/>
    <w:uiPriority w:val="99"/>
    <w:pPr>
      <w:spacing w:after="120"/>
      <w:ind w:left="420" w:leftChars="200"/>
    </w:pPr>
  </w:style>
  <w:style w:type="paragraph" w:styleId="9">
    <w:name w:val="Body Text First Indent 2"/>
    <w:basedOn w:val="8"/>
    <w:unhideWhenUsed/>
    <w:qFormat/>
    <w:uiPriority w:val="99"/>
    <w:pPr>
      <w:ind w:firstLine="420"/>
    </w:pPr>
  </w:style>
  <w:style w:type="paragraph" w:styleId="10">
    <w:name w:val="toc 3"/>
    <w:basedOn w:val="1"/>
    <w:next w:val="1"/>
    <w:unhideWhenUsed/>
    <w:qFormat/>
    <w:uiPriority w:val="39"/>
    <w:pPr>
      <w:widowControl/>
      <w:spacing w:after="100" w:line="259" w:lineRule="auto"/>
      <w:ind w:left="440"/>
      <w:jc w:val="left"/>
    </w:pPr>
    <w:rPr>
      <w:rFonts w:ascii="等线" w:hAnsi="等线"/>
      <w:kern w:val="0"/>
      <w:sz w:val="22"/>
    </w:rPr>
  </w:style>
  <w:style w:type="paragraph" w:styleId="11">
    <w:name w:val="Date"/>
    <w:basedOn w:val="1"/>
    <w:next w:val="1"/>
    <w:link w:val="34"/>
    <w:unhideWhenUsed/>
    <w:qFormat/>
    <w:uiPriority w:val="99"/>
    <w:pPr>
      <w:ind w:left="100" w:leftChars="2500"/>
    </w:pPr>
  </w:style>
  <w:style w:type="paragraph" w:styleId="12">
    <w:name w:val="Body Text Indent 2"/>
    <w:basedOn w:val="1"/>
    <w:qFormat/>
    <w:uiPriority w:val="99"/>
    <w:pPr>
      <w:spacing w:line="360" w:lineRule="auto"/>
      <w:ind w:firstLine="480" w:firstLineChars="200"/>
      <w:jc w:val="left"/>
    </w:pPr>
    <w:rPr>
      <w:rFonts w:hAnsi="宋体"/>
      <w:sz w:val="24"/>
      <w:szCs w:val="21"/>
    </w:rPr>
  </w:style>
  <w:style w:type="paragraph" w:styleId="13">
    <w:name w:val="Balloon Text"/>
    <w:basedOn w:val="1"/>
    <w:qFormat/>
    <w:uiPriority w:val="0"/>
    <w:rPr>
      <w:sz w:val="18"/>
      <w:szCs w:val="18"/>
    </w:rPr>
  </w:style>
  <w:style w:type="paragraph" w:styleId="14">
    <w:name w:val="footer"/>
    <w:basedOn w:val="1"/>
    <w:link w:val="32"/>
    <w:unhideWhenUsed/>
    <w:qFormat/>
    <w:uiPriority w:val="99"/>
    <w:pPr>
      <w:tabs>
        <w:tab w:val="center" w:pos="4153"/>
        <w:tab w:val="right" w:pos="8306"/>
      </w:tabs>
      <w:snapToGrid w:val="0"/>
      <w:jc w:val="left"/>
    </w:pPr>
    <w:rPr>
      <w:sz w:val="18"/>
      <w:szCs w:val="18"/>
    </w:rPr>
  </w:style>
  <w:style w:type="paragraph" w:styleId="15">
    <w:name w:val="envelope return"/>
    <w:basedOn w:val="1"/>
    <w:unhideWhenUsed/>
    <w:qFormat/>
    <w:uiPriority w:val="99"/>
    <w:rPr>
      <w:rFonts w:ascii="Arial" w:hAnsi="Arial"/>
    </w:rPr>
  </w:style>
  <w:style w:type="paragraph" w:styleId="16">
    <w:name w:val="header"/>
    <w:basedOn w:val="1"/>
    <w:link w:val="38"/>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rPr>
      <w:b/>
    </w:rPr>
  </w:style>
  <w:style w:type="paragraph" w:styleId="18">
    <w:name w:val="toc 2"/>
    <w:basedOn w:val="1"/>
    <w:next w:val="1"/>
    <w:unhideWhenUsed/>
    <w:qFormat/>
    <w:uiPriority w:val="39"/>
    <w:pPr>
      <w:widowControl/>
      <w:spacing w:after="100" w:line="259" w:lineRule="auto"/>
      <w:ind w:left="220"/>
      <w:jc w:val="left"/>
    </w:pPr>
    <w:rPr>
      <w:rFonts w:ascii="等线" w:hAnsi="等线"/>
      <w:kern w:val="0"/>
      <w:sz w:val="22"/>
    </w:rPr>
  </w:style>
  <w:style w:type="paragraph" w:styleId="19">
    <w:name w:val="Normal (Web)"/>
    <w:basedOn w:val="1"/>
    <w:next w:val="1"/>
    <w:semiHidden/>
    <w:unhideWhenUsed/>
    <w:qFormat/>
    <w:uiPriority w:val="0"/>
    <w:rPr>
      <w:sz w:val="24"/>
    </w:rPr>
  </w:style>
  <w:style w:type="paragraph" w:styleId="20">
    <w:name w:val="Title"/>
    <w:basedOn w:val="1"/>
    <w:next w:val="1"/>
    <w:qFormat/>
    <w:uiPriority w:val="10"/>
    <w:pPr>
      <w:spacing w:before="240" w:after="60"/>
      <w:jc w:val="center"/>
      <w:outlineLvl w:val="0"/>
    </w:pPr>
    <w:rPr>
      <w:rFonts w:ascii="Cambria" w:hAnsi="Cambria"/>
      <w:b/>
      <w:bCs/>
      <w:sz w:val="32"/>
      <w:szCs w:val="32"/>
    </w:rPr>
  </w:style>
  <w:style w:type="paragraph" w:styleId="21">
    <w:name w:val="annotation subject"/>
    <w:basedOn w:val="5"/>
    <w:next w:val="5"/>
    <w:link w:val="58"/>
    <w:semiHidden/>
    <w:unhideWhenUsed/>
    <w:qFormat/>
    <w:uiPriority w:val="99"/>
    <w:rPr>
      <w:b/>
      <w:bCs/>
    </w:rPr>
  </w:style>
  <w:style w:type="character" w:styleId="24">
    <w:name w:val="Strong"/>
    <w:basedOn w:val="23"/>
    <w:qFormat/>
    <w:uiPriority w:val="99"/>
    <w:rPr>
      <w:rFonts w:cs="Times New Roman"/>
      <w:b/>
    </w:rPr>
  </w:style>
  <w:style w:type="character" w:styleId="25">
    <w:name w:val="FollowedHyperlink"/>
    <w:basedOn w:val="23"/>
    <w:unhideWhenUsed/>
    <w:qFormat/>
    <w:uiPriority w:val="99"/>
    <w:rPr>
      <w:rFonts w:hint="default" w:ascii="Arial" w:hAnsi="Arial" w:eastAsia="Arial" w:cs="Arial"/>
      <w:color w:val="333333"/>
      <w:sz w:val="21"/>
      <w:szCs w:val="21"/>
      <w:u w:val="none"/>
    </w:rPr>
  </w:style>
  <w:style w:type="character" w:styleId="26">
    <w:name w:val="Emphasis"/>
    <w:basedOn w:val="23"/>
    <w:qFormat/>
    <w:uiPriority w:val="20"/>
    <w:rPr>
      <w:i/>
      <w:iCs/>
    </w:rPr>
  </w:style>
  <w:style w:type="character" w:styleId="27">
    <w:name w:val="Hyperlink"/>
    <w:basedOn w:val="23"/>
    <w:unhideWhenUsed/>
    <w:qFormat/>
    <w:uiPriority w:val="99"/>
    <w:rPr>
      <w:rFonts w:ascii="Arial" w:hAnsi="Arial" w:eastAsia="Arial" w:cs="Arial"/>
      <w:color w:val="333333"/>
      <w:sz w:val="21"/>
      <w:szCs w:val="21"/>
      <w:u w:val="none"/>
    </w:rPr>
  </w:style>
  <w:style w:type="character" w:styleId="28">
    <w:name w:val="annotation reference"/>
    <w:basedOn w:val="23"/>
    <w:unhideWhenUsed/>
    <w:qFormat/>
    <w:uiPriority w:val="99"/>
    <w:rPr>
      <w:sz w:val="21"/>
      <w:szCs w:val="21"/>
    </w:rPr>
  </w:style>
  <w:style w:type="paragraph" w:customStyle="1" w:styleId="29">
    <w:name w:val="标准正文"/>
    <w:basedOn w:val="8"/>
    <w:qFormat/>
    <w:uiPriority w:val="0"/>
    <w:pPr>
      <w:adjustRightInd w:val="0"/>
      <w:snapToGrid w:val="0"/>
      <w:spacing w:line="360" w:lineRule="auto"/>
      <w:ind w:firstLine="560" w:firstLineChars="200"/>
    </w:pPr>
    <w:rPr>
      <w:sz w:val="24"/>
    </w:rPr>
  </w:style>
  <w:style w:type="paragraph" w:styleId="30">
    <w:name w:val="List Paragraph"/>
    <w:basedOn w:val="1"/>
    <w:qFormat/>
    <w:uiPriority w:val="34"/>
    <w:pPr>
      <w:ind w:firstLine="420" w:firstLineChars="200"/>
    </w:pPr>
    <w:rPr>
      <w:rFonts w:ascii="Calibri" w:hAnsi="Calibri"/>
      <w:szCs w:val="22"/>
    </w:rPr>
  </w:style>
  <w:style w:type="paragraph" w:customStyle="1" w:styleId="31">
    <w:name w:val="Fließtext"/>
    <w:basedOn w:val="1"/>
    <w:qFormat/>
    <w:uiPriority w:val="0"/>
    <w:pPr>
      <w:overflowPunct w:val="0"/>
      <w:autoSpaceDE w:val="0"/>
      <w:autoSpaceDN w:val="0"/>
      <w:adjustRightInd w:val="0"/>
    </w:pPr>
    <w:rPr>
      <w:kern w:val="28"/>
    </w:rPr>
  </w:style>
  <w:style w:type="character" w:customStyle="1" w:styleId="32">
    <w:name w:val="页脚 字符"/>
    <w:basedOn w:val="23"/>
    <w:link w:val="14"/>
    <w:semiHidden/>
    <w:qFormat/>
    <w:uiPriority w:val="99"/>
    <w:rPr>
      <w:rFonts w:ascii="Times New Roman" w:hAnsi="Times New Roman" w:eastAsia="宋体" w:cs="Times New Roman"/>
      <w:sz w:val="18"/>
      <w:szCs w:val="18"/>
    </w:rPr>
  </w:style>
  <w:style w:type="character" w:customStyle="1" w:styleId="33">
    <w:name w:val="hover53"/>
    <w:basedOn w:val="23"/>
    <w:qFormat/>
    <w:uiPriority w:val="0"/>
    <w:rPr>
      <w:color w:val="4285F4"/>
      <w:u w:val="none"/>
    </w:rPr>
  </w:style>
  <w:style w:type="character" w:customStyle="1" w:styleId="34">
    <w:name w:val="日期 字符"/>
    <w:basedOn w:val="23"/>
    <w:link w:val="11"/>
    <w:semiHidden/>
    <w:qFormat/>
    <w:uiPriority w:val="99"/>
    <w:rPr>
      <w:rFonts w:ascii="Times New Roman" w:hAnsi="Times New Roman"/>
      <w:kern w:val="2"/>
      <w:sz w:val="21"/>
      <w:szCs w:val="24"/>
    </w:rPr>
  </w:style>
  <w:style w:type="character" w:customStyle="1" w:styleId="35">
    <w:name w:val="hover56"/>
    <w:basedOn w:val="23"/>
    <w:qFormat/>
    <w:uiPriority w:val="0"/>
  </w:style>
  <w:style w:type="character" w:customStyle="1" w:styleId="36">
    <w:name w:val="active4"/>
    <w:basedOn w:val="23"/>
    <w:qFormat/>
    <w:uiPriority w:val="0"/>
    <w:rPr>
      <w:color w:val="4285F4"/>
      <w:bdr w:val="single" w:color="4285F4" w:sz="6" w:space="0"/>
    </w:rPr>
  </w:style>
  <w:style w:type="character" w:customStyle="1" w:styleId="37">
    <w:name w:val="before"/>
    <w:basedOn w:val="23"/>
    <w:qFormat/>
    <w:uiPriority w:val="0"/>
    <w:rPr>
      <w:bdr w:val="single" w:color="auto" w:sz="48" w:space="0"/>
    </w:rPr>
  </w:style>
  <w:style w:type="character" w:customStyle="1" w:styleId="38">
    <w:name w:val="页眉 字符"/>
    <w:basedOn w:val="23"/>
    <w:link w:val="16"/>
    <w:semiHidden/>
    <w:qFormat/>
    <w:uiPriority w:val="99"/>
    <w:rPr>
      <w:rFonts w:ascii="Times New Roman" w:hAnsi="Times New Roman" w:eastAsia="宋体" w:cs="Times New Roman"/>
      <w:sz w:val="18"/>
      <w:szCs w:val="18"/>
    </w:rPr>
  </w:style>
  <w:style w:type="character" w:customStyle="1" w:styleId="39">
    <w:name w:val="first-child"/>
    <w:basedOn w:val="23"/>
    <w:qFormat/>
    <w:uiPriority w:val="0"/>
  </w:style>
  <w:style w:type="character" w:customStyle="1" w:styleId="40">
    <w:name w:val="last-child1"/>
    <w:basedOn w:val="23"/>
    <w:qFormat/>
    <w:uiPriority w:val="0"/>
  </w:style>
  <w:style w:type="character" w:customStyle="1" w:styleId="41">
    <w:name w:val="hover52"/>
    <w:basedOn w:val="23"/>
    <w:qFormat/>
    <w:uiPriority w:val="0"/>
    <w:rPr>
      <w:color w:val="4285F4"/>
    </w:rPr>
  </w:style>
  <w:style w:type="character" w:customStyle="1" w:styleId="42">
    <w:name w:val="font01"/>
    <w:basedOn w:val="23"/>
    <w:qFormat/>
    <w:uiPriority w:val="0"/>
    <w:rPr>
      <w:rFonts w:ascii="Calibri" w:hAnsi="Calibri" w:cs="Calibri"/>
      <w:color w:val="000000"/>
      <w:sz w:val="22"/>
      <w:szCs w:val="22"/>
      <w:u w:val="none"/>
    </w:rPr>
  </w:style>
  <w:style w:type="character" w:customStyle="1" w:styleId="43">
    <w:name w:val="hover51"/>
    <w:basedOn w:val="23"/>
    <w:qFormat/>
    <w:uiPriority w:val="0"/>
    <w:rPr>
      <w:shd w:val="clear" w:color="auto" w:fill="346AC3"/>
    </w:rPr>
  </w:style>
  <w:style w:type="character" w:customStyle="1" w:styleId="44">
    <w:name w:val="after"/>
    <w:basedOn w:val="23"/>
    <w:qFormat/>
    <w:uiPriority w:val="0"/>
    <w:rPr>
      <w:bdr w:val="dashed" w:color="auto" w:sz="48" w:space="0"/>
    </w:rPr>
  </w:style>
  <w:style w:type="character" w:customStyle="1" w:styleId="45">
    <w:name w:val="hover54"/>
    <w:basedOn w:val="23"/>
    <w:qFormat/>
    <w:uiPriority w:val="0"/>
    <w:rPr>
      <w:color w:val="4285F4"/>
    </w:rPr>
  </w:style>
  <w:style w:type="character" w:customStyle="1" w:styleId="46">
    <w:name w:val="hover55"/>
    <w:basedOn w:val="23"/>
    <w:qFormat/>
    <w:uiPriority w:val="0"/>
    <w:rPr>
      <w:color w:val="1A85D7"/>
    </w:rPr>
  </w:style>
  <w:style w:type="character" w:customStyle="1" w:styleId="47">
    <w:name w:val="font21"/>
    <w:basedOn w:val="23"/>
    <w:qFormat/>
    <w:uiPriority w:val="0"/>
    <w:rPr>
      <w:rFonts w:hint="eastAsia" w:ascii="宋体" w:hAnsi="宋体" w:eastAsia="宋体" w:cs="宋体"/>
      <w:color w:val="000000"/>
      <w:sz w:val="28"/>
      <w:szCs w:val="28"/>
      <w:u w:val="none"/>
    </w:rPr>
  </w:style>
  <w:style w:type="character" w:customStyle="1" w:styleId="48">
    <w:name w:val="active"/>
    <w:basedOn w:val="23"/>
    <w:qFormat/>
    <w:uiPriority w:val="0"/>
    <w:rPr>
      <w:color w:val="4285F4"/>
      <w:bdr w:val="single" w:color="4285F4" w:sz="6" w:space="0"/>
    </w:rPr>
  </w:style>
  <w:style w:type="character" w:customStyle="1" w:styleId="49">
    <w:name w:val="font11"/>
    <w:basedOn w:val="23"/>
    <w:qFormat/>
    <w:uiPriority w:val="0"/>
    <w:rPr>
      <w:rFonts w:hint="eastAsia" w:ascii="宋体" w:hAnsi="宋体" w:eastAsia="宋体" w:cs="宋体"/>
      <w:color w:val="000000"/>
      <w:sz w:val="22"/>
      <w:szCs w:val="22"/>
      <w:u w:val="none"/>
    </w:rPr>
  </w:style>
  <w:style w:type="character" w:customStyle="1" w:styleId="50">
    <w:name w:val="credit"/>
    <w:basedOn w:val="23"/>
    <w:qFormat/>
    <w:uiPriority w:val="0"/>
    <w:rPr>
      <w:sz w:val="18"/>
      <w:szCs w:val="18"/>
    </w:rPr>
  </w:style>
  <w:style w:type="character" w:customStyle="1" w:styleId="51">
    <w:name w:val="hover41"/>
    <w:basedOn w:val="23"/>
    <w:qFormat/>
    <w:uiPriority w:val="0"/>
    <w:rPr>
      <w:shd w:val="clear" w:color="auto" w:fill="346AC3"/>
    </w:rPr>
  </w:style>
  <w:style w:type="character" w:customStyle="1" w:styleId="52">
    <w:name w:val="hover42"/>
    <w:basedOn w:val="23"/>
    <w:qFormat/>
    <w:uiPriority w:val="0"/>
    <w:rPr>
      <w:color w:val="4285F4"/>
    </w:rPr>
  </w:style>
  <w:style w:type="character" w:customStyle="1" w:styleId="53">
    <w:name w:val="hover43"/>
    <w:basedOn w:val="23"/>
    <w:qFormat/>
    <w:uiPriority w:val="0"/>
    <w:rPr>
      <w:color w:val="4285F4"/>
    </w:rPr>
  </w:style>
  <w:style w:type="character" w:customStyle="1" w:styleId="54">
    <w:name w:val="hover44"/>
    <w:basedOn w:val="23"/>
    <w:qFormat/>
    <w:uiPriority w:val="0"/>
    <w:rPr>
      <w:color w:val="4285F4"/>
      <w:u w:val="none"/>
    </w:rPr>
  </w:style>
  <w:style w:type="character" w:customStyle="1" w:styleId="55">
    <w:name w:val="hover45"/>
    <w:basedOn w:val="23"/>
    <w:qFormat/>
    <w:uiPriority w:val="0"/>
    <w:rPr>
      <w:color w:val="1A85D7"/>
    </w:rPr>
  </w:style>
  <w:style w:type="character" w:customStyle="1" w:styleId="56">
    <w:name w:val="hover46"/>
    <w:basedOn w:val="23"/>
    <w:qFormat/>
    <w:uiPriority w:val="0"/>
  </w:style>
  <w:style w:type="character" w:customStyle="1" w:styleId="57">
    <w:name w:val="批注文字 字符"/>
    <w:basedOn w:val="23"/>
    <w:link w:val="5"/>
    <w:semiHidden/>
    <w:qFormat/>
    <w:uiPriority w:val="99"/>
    <w:rPr>
      <w:kern w:val="2"/>
      <w:sz w:val="21"/>
      <w:szCs w:val="24"/>
    </w:rPr>
  </w:style>
  <w:style w:type="character" w:customStyle="1" w:styleId="58">
    <w:name w:val="批注主题 字符"/>
    <w:basedOn w:val="57"/>
    <w:link w:val="21"/>
    <w:semiHidden/>
    <w:qFormat/>
    <w:uiPriority w:val="99"/>
    <w:rPr>
      <w:b/>
      <w:bCs/>
      <w:kern w:val="2"/>
      <w:sz w:val="21"/>
      <w:szCs w:val="24"/>
    </w:rPr>
  </w:style>
  <w:style w:type="paragraph" w:customStyle="1" w:styleId="59">
    <w:name w:val="TOC 标题2"/>
    <w:basedOn w:val="2"/>
    <w:next w:val="1"/>
    <w:unhideWhenUsed/>
    <w:qFormat/>
    <w:uiPriority w:val="39"/>
    <w:pPr>
      <w:widowControl/>
      <w:numPr>
        <w:numId w:val="0"/>
      </w:numPr>
      <w:spacing w:after="0" w:line="259" w:lineRule="auto"/>
      <w:jc w:val="left"/>
      <w:outlineLvl w:val="9"/>
    </w:pPr>
    <w:rPr>
      <w:rFonts w:ascii="等线 Light" w:hAnsi="等线 Light" w:eastAsia="等线 Light"/>
      <w:b w:val="0"/>
      <w:bCs w:val="0"/>
      <w:color w:val="2F5496"/>
      <w:kern w:val="0"/>
      <w:szCs w:val="32"/>
    </w:rPr>
  </w:style>
  <w:style w:type="paragraph" w:customStyle="1" w:styleId="60">
    <w:name w:val="文章正文"/>
    <w:basedOn w:val="1"/>
    <w:qFormat/>
    <w:uiPriority w:val="0"/>
    <w:pPr>
      <w:ind w:firstLine="200" w:firstLineChars="200"/>
    </w:pPr>
    <w:rPr>
      <w:szCs w:val="21"/>
    </w:rPr>
  </w:style>
  <w:style w:type="paragraph" w:customStyle="1" w:styleId="61">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无间隔1"/>
    <w:qFormat/>
    <w:uiPriority w:val="1"/>
    <w:pPr>
      <w:widowControl w:val="0"/>
      <w:spacing w:line="300" w:lineRule="auto"/>
      <w:jc w:val="both"/>
    </w:pPr>
    <w:rPr>
      <w:rFonts w:ascii="宋体" w:hAnsi="宋体" w:eastAsia="宋体" w:cs="Times New Roman"/>
      <w:kern w:val="2"/>
      <w:sz w:val="21"/>
      <w:szCs w:val="22"/>
      <w:lang w:val="en-US" w:eastAsia="zh-CN" w:bidi="ar-SA"/>
    </w:rPr>
  </w:style>
  <w:style w:type="character" w:customStyle="1" w:styleId="63">
    <w:name w:val="标题 1 字符"/>
    <w:link w:val="2"/>
    <w:qFormat/>
    <w:uiPriority w:val="9"/>
    <w:rPr>
      <w:rFonts w:ascii="Times New Roman" w:hAnsi="Times New Roman"/>
      <w:b/>
      <w:bCs/>
      <w:kern w:val="44"/>
      <w:sz w:val="32"/>
      <w:szCs w:val="44"/>
    </w:rPr>
  </w:style>
  <w:style w:type="paragraph" w:customStyle="1" w:styleId="64">
    <w:name w:val="列出段落1"/>
    <w:basedOn w:val="1"/>
    <w:qFormat/>
    <w:uiPriority w:val="34"/>
    <w:pPr>
      <w:ind w:firstLine="420" w:firstLineChars="200"/>
    </w:pPr>
  </w:style>
  <w:style w:type="paragraph" w:customStyle="1" w:styleId="65">
    <w:name w:val="表格文字"/>
    <w:basedOn w:val="1"/>
    <w:next w:val="6"/>
    <w:qFormat/>
    <w:uiPriority w:val="0"/>
    <w:pPr>
      <w:adjustRightInd w:val="0"/>
      <w:spacing w:line="420" w:lineRule="atLeast"/>
      <w:jc w:val="left"/>
      <w:textAlignment w:val="baseline"/>
    </w:pPr>
    <w:rPr>
      <w:kern w:val="0"/>
    </w:rPr>
  </w:style>
  <w:style w:type="paragraph" w:customStyle="1" w:styleId="66">
    <w:name w:val="Table Paragraph"/>
    <w:basedOn w:val="1"/>
    <w:qFormat/>
    <w:uiPriority w:val="1"/>
    <w:pPr>
      <w:autoSpaceDE w:val="0"/>
      <w:autoSpaceDN w:val="0"/>
      <w:jc w:val="left"/>
    </w:pPr>
    <w:rPr>
      <w:rFonts w:ascii="仿宋" w:hAnsi="仿宋" w:eastAsia="仿宋" w:cs="仿宋"/>
      <w:kern w:val="0"/>
      <w:sz w:val="22"/>
      <w:lang w:val="zh-CN" w:bidi="zh-CN"/>
    </w:rPr>
  </w:style>
  <w:style w:type="character" w:customStyle="1" w:styleId="67">
    <w:name w:val="awspan1"/>
    <w:basedOn w:val="23"/>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5100</Words>
  <Characters>5183</Characters>
  <Lines>52</Lines>
  <Paragraphs>14</Paragraphs>
  <TotalTime>2563</TotalTime>
  <ScaleCrop>false</ScaleCrop>
  <LinksUpToDate>false</LinksUpToDate>
  <CharactersWithSpaces>5704</CharactersWithSpaces>
  <Application>WPS Office_11.8.2.12187_F1E327BC-269C-435d-A152-05C5408002CA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2020-08-02T16:12:00Z</dcterms:created>
  <dc:creator>胡志雨</dc:creator>
  <cp:lastModifiedBy>张佳勤</cp:lastModifiedBy>
  <cp:lastPrinted>2023-04-03T08:15:00Z</cp:lastPrinted>
  <dcterms:modified xsi:type="dcterms:W3CDTF">2024-05-27T04:15:11Z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31A7B2B16B33454880F7AE3AA29E91DE_13</vt:lpwstr>
  </property>
</Properties>
</file>