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D76C2">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59264" behindDoc="1" locked="1" layoutInCell="1" allowOverlap="1">
            <wp:simplePos x="0" y="0"/>
            <wp:positionH relativeFrom="column">
              <wp:posOffset>-1257935</wp:posOffset>
            </wp:positionH>
            <wp:positionV relativeFrom="page">
              <wp:posOffset>112395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14:paraId="7F5BC08A">
      <w:pPr>
        <w:pStyle w:val="6"/>
      </w:pPr>
    </w:p>
    <w:p w14:paraId="6796F890">
      <w:pPr>
        <w:spacing w:line="560" w:lineRule="exact"/>
        <w:jc w:val="center"/>
        <w:rPr>
          <w:rFonts w:ascii="方正小标宋_GBK" w:hAnsi="方正小标宋_GBK" w:eastAsia="方正小标宋_GBK" w:cs="方正小标宋_GBK"/>
          <w:bCs/>
          <w:sz w:val="44"/>
          <w:szCs w:val="44"/>
        </w:rPr>
      </w:pPr>
    </w:p>
    <w:p w14:paraId="5544FF13">
      <w:pPr>
        <w:numPr>
          <w:ilvl w:val="255"/>
          <w:numId w:val="0"/>
        </w:numPr>
        <w:spacing w:before="156" w:beforeLines="50" w:after="156" w:afterLines="50" w:line="560" w:lineRule="exact"/>
        <w:jc w:val="center"/>
        <w:rPr>
          <w:rFonts w:ascii="方正小标宋_GBK" w:hAnsi="方正小标宋_GBK" w:eastAsia="方正小标宋_GBK" w:cs="方正小标宋_GBK"/>
          <w:b/>
          <w:sz w:val="44"/>
          <w:szCs w:val="44"/>
        </w:rPr>
      </w:pPr>
    </w:p>
    <w:p w14:paraId="7EA40CCD">
      <w:pPr>
        <w:numPr>
          <w:ilvl w:val="255"/>
          <w:numId w:val="0"/>
        </w:numPr>
        <w:spacing w:after="156" w:afterLines="50" w:line="560" w:lineRule="exact"/>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询价文件</w:t>
      </w:r>
    </w:p>
    <w:p w14:paraId="2CF5821D">
      <w:pPr>
        <w:numPr>
          <w:ilvl w:val="255"/>
          <w:numId w:val="0"/>
        </w:numPr>
        <w:spacing w:line="540" w:lineRule="exact"/>
        <w:ind w:firstLine="600" w:firstLineChars="200"/>
        <w:rPr>
          <w:rFonts w:ascii="方正小标宋_GBK" w:hAnsi="方正小标宋_GBK" w:eastAsia="方正小标宋_GBK" w:cs="方正小标宋_GBK"/>
          <w:bCs/>
          <w:sz w:val="30"/>
          <w:szCs w:val="30"/>
        </w:rPr>
      </w:pPr>
      <w:r>
        <w:rPr>
          <w:rFonts w:hint="eastAsia" w:ascii="仿宋" w:hAnsi="仿宋" w:eastAsia="仿宋" w:cs="仿宋"/>
          <w:kern w:val="0"/>
          <w:sz w:val="30"/>
          <w:szCs w:val="30"/>
        </w:rPr>
        <w:t>福州市滨海水务发展有限公司采用公开挂网询价采购方式组织实施本次货物的采购，现邀请合格供应商参与报价。</w:t>
      </w:r>
    </w:p>
    <w:p w14:paraId="04874D93">
      <w:pPr>
        <w:widowControl/>
        <w:spacing w:line="54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一、项目名</w:t>
      </w:r>
      <w:r>
        <w:rPr>
          <w:rFonts w:ascii="仿宋" w:hAnsi="仿宋" w:eastAsia="仿宋" w:cs="仿宋"/>
          <w:kern w:val="0"/>
          <w:sz w:val="30"/>
          <w:szCs w:val="30"/>
        </w:rPr>
        <w:t>称</w:t>
      </w:r>
      <w:r>
        <w:rPr>
          <w:rFonts w:hint="eastAsia" w:ascii="仿宋" w:hAnsi="仿宋" w:eastAsia="仿宋" w:cs="仿宋"/>
          <w:kern w:val="0"/>
          <w:sz w:val="30"/>
          <w:szCs w:val="30"/>
        </w:rPr>
        <w:t>：福州市滨海水务发展有限公司动力站和便携水泵的水带</w:t>
      </w:r>
      <w:r>
        <w:rPr>
          <w:rFonts w:ascii="仿宋" w:hAnsi="仿宋" w:eastAsia="仿宋" w:cs="仿宋"/>
          <w:kern w:val="0"/>
          <w:sz w:val="30"/>
          <w:szCs w:val="30"/>
        </w:rPr>
        <w:t>采购项目。</w:t>
      </w:r>
    </w:p>
    <w:p w14:paraId="2AF431AA">
      <w:pPr>
        <w:widowControl/>
        <w:spacing w:line="54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二、货物内容及要求：</w:t>
      </w:r>
    </w:p>
    <w:tbl>
      <w:tblPr>
        <w:tblStyle w:val="22"/>
        <w:tblpPr w:leftFromText="180" w:rightFromText="180" w:vertAnchor="text" w:horzAnchor="page" w:tblpX="927" w:tblpY="229"/>
        <w:tblOverlap w:val="never"/>
        <w:tblW w:w="9671" w:type="dxa"/>
        <w:jc w:val="center"/>
        <w:tblLayout w:type="fixed"/>
        <w:tblCellMar>
          <w:top w:w="0" w:type="dxa"/>
          <w:left w:w="0" w:type="dxa"/>
          <w:bottom w:w="0" w:type="dxa"/>
          <w:right w:w="0" w:type="dxa"/>
        </w:tblCellMar>
      </w:tblPr>
      <w:tblGrid>
        <w:gridCol w:w="601"/>
        <w:gridCol w:w="1198"/>
        <w:gridCol w:w="3117"/>
        <w:gridCol w:w="767"/>
        <w:gridCol w:w="1433"/>
        <w:gridCol w:w="1450"/>
        <w:gridCol w:w="1105"/>
      </w:tblGrid>
      <w:tr w14:paraId="09FEC978">
        <w:tblPrEx>
          <w:tblCellMar>
            <w:top w:w="0" w:type="dxa"/>
            <w:left w:w="0" w:type="dxa"/>
            <w:bottom w:w="0" w:type="dxa"/>
            <w:right w:w="0" w:type="dxa"/>
          </w:tblCellMar>
        </w:tblPrEx>
        <w:trPr>
          <w:trHeight w:val="1029" w:hRule="atLeast"/>
          <w:jc w:val="center"/>
        </w:trPr>
        <w:tc>
          <w:tcPr>
            <w:tcW w:w="601"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14:paraId="1A076B78">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rPr>
              <w:t>序号</w:t>
            </w:r>
          </w:p>
        </w:tc>
        <w:tc>
          <w:tcPr>
            <w:tcW w:w="1198"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F826FA1">
            <w:pPr>
              <w:widowControl/>
              <w:spacing w:line="360" w:lineRule="auto"/>
              <w:jc w:val="center"/>
              <w:textAlignment w:val="center"/>
              <w:rPr>
                <w:rFonts w:ascii="仿宋" w:hAnsi="仿宋" w:eastAsia="仿宋" w:cs="仿宋"/>
                <w:sz w:val="24"/>
              </w:rPr>
            </w:pPr>
            <w:r>
              <w:rPr>
                <w:rFonts w:hint="eastAsia" w:ascii="仿宋" w:hAnsi="仿宋" w:eastAsia="仿宋" w:cs="仿宋"/>
                <w:sz w:val="24"/>
              </w:rPr>
              <w:t>产品名称</w:t>
            </w:r>
          </w:p>
        </w:tc>
        <w:tc>
          <w:tcPr>
            <w:tcW w:w="31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24B05671">
            <w:pPr>
              <w:widowControl/>
              <w:spacing w:line="360" w:lineRule="auto"/>
              <w:jc w:val="center"/>
              <w:textAlignment w:val="center"/>
              <w:rPr>
                <w:rFonts w:ascii="仿宋" w:hAnsi="仿宋" w:eastAsia="仿宋" w:cs="仿宋"/>
                <w:sz w:val="24"/>
              </w:rPr>
            </w:pPr>
            <w:r>
              <w:rPr>
                <w:rFonts w:hint="eastAsia" w:ascii="仿宋" w:hAnsi="仿宋" w:eastAsia="仿宋" w:cs="仿宋"/>
                <w:sz w:val="24"/>
              </w:rPr>
              <w:t>规格型号</w:t>
            </w:r>
          </w:p>
        </w:tc>
        <w:tc>
          <w:tcPr>
            <w:tcW w:w="76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0D93A3D5">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个</w:t>
            </w:r>
            <w:r>
              <w:rPr>
                <w:rFonts w:hint="eastAsia" w:ascii="仿宋" w:hAnsi="仿宋" w:eastAsia="仿宋" w:cs="仿宋"/>
                <w:kern w:val="0"/>
                <w:sz w:val="24"/>
              </w:rPr>
              <w:t>）</w:t>
            </w:r>
          </w:p>
        </w:tc>
        <w:tc>
          <w:tcPr>
            <w:tcW w:w="1433" w:type="dxa"/>
            <w:tcBorders>
              <w:top w:val="single" w:color="auto" w:sz="4" w:space="0"/>
              <w:left w:val="single" w:color="000000" w:sz="4" w:space="0"/>
              <w:bottom w:val="single" w:color="auto" w:sz="4" w:space="0"/>
              <w:right w:val="single" w:color="000000" w:sz="4" w:space="0"/>
            </w:tcBorders>
            <w:vAlign w:val="center"/>
          </w:tcPr>
          <w:p w14:paraId="76F7AEE2">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lang w:bidi="ar"/>
              </w:rPr>
              <w:t>含税单价最高限价（元）</w:t>
            </w:r>
          </w:p>
        </w:tc>
        <w:tc>
          <w:tcPr>
            <w:tcW w:w="1450" w:type="dxa"/>
            <w:tcBorders>
              <w:top w:val="single" w:color="auto" w:sz="4" w:space="0"/>
              <w:left w:val="single" w:color="000000" w:sz="4" w:space="0"/>
              <w:bottom w:val="single" w:color="auto" w:sz="4" w:space="0"/>
              <w:right w:val="single" w:color="000000" w:sz="4" w:space="0"/>
            </w:tcBorders>
            <w:vAlign w:val="center"/>
          </w:tcPr>
          <w:p w14:paraId="430200CD">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含税总价最高限价（元）</w:t>
            </w:r>
          </w:p>
        </w:tc>
        <w:tc>
          <w:tcPr>
            <w:tcW w:w="1105" w:type="dxa"/>
            <w:tcBorders>
              <w:top w:val="single" w:color="auto" w:sz="4" w:space="0"/>
              <w:left w:val="single" w:color="000000" w:sz="4" w:space="0"/>
              <w:bottom w:val="single" w:color="auto" w:sz="4" w:space="0"/>
              <w:right w:val="single" w:color="auto" w:sz="4" w:space="0"/>
            </w:tcBorders>
            <w:vAlign w:val="center"/>
          </w:tcPr>
          <w:p w14:paraId="0089CC3A">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质保期</w:t>
            </w:r>
          </w:p>
        </w:tc>
      </w:tr>
      <w:tr w14:paraId="2C02C0E1">
        <w:tblPrEx>
          <w:tblCellMar>
            <w:top w:w="0" w:type="dxa"/>
            <w:left w:w="0" w:type="dxa"/>
            <w:bottom w:w="0" w:type="dxa"/>
            <w:right w:w="0" w:type="dxa"/>
          </w:tblCellMar>
        </w:tblPrEx>
        <w:trPr>
          <w:trHeight w:val="1088" w:hRule="atLeast"/>
          <w:jc w:val="center"/>
        </w:trPr>
        <w:tc>
          <w:tcPr>
            <w:tcW w:w="60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60CB4D6">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w:t>
            </w:r>
          </w:p>
        </w:tc>
        <w:tc>
          <w:tcPr>
            <w:tcW w:w="119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C8E6069">
            <w:pPr>
              <w:widowControl/>
              <w:spacing w:line="360" w:lineRule="auto"/>
              <w:jc w:val="center"/>
              <w:textAlignment w:val="center"/>
              <w:rPr>
                <w:rFonts w:ascii="仿宋" w:hAnsi="仿宋" w:eastAsia="仿宋" w:cs="仿宋"/>
                <w:sz w:val="24"/>
              </w:rPr>
            </w:pPr>
            <w:r>
              <w:rPr>
                <w:rFonts w:hint="eastAsia" w:ascii="仿宋" w:hAnsi="仿宋" w:eastAsia="仿宋" w:cs="仿宋"/>
                <w:sz w:val="24"/>
              </w:rPr>
              <w:t>动力站配套排水带</w:t>
            </w:r>
          </w:p>
        </w:tc>
        <w:tc>
          <w:tcPr>
            <w:tcW w:w="31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C535C12">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DN250mm</w:t>
            </w:r>
            <w:r>
              <w:rPr>
                <w:rFonts w:hint="eastAsia" w:ascii="仿宋" w:hAnsi="仿宋" w:eastAsia="仿宋" w:cs="仿宋"/>
                <w:sz w:val="24"/>
                <w:lang w:eastAsia="zh-CN"/>
              </w:rPr>
              <w:t>，</w:t>
            </w:r>
            <w:r>
              <w:rPr>
                <w:rFonts w:hint="eastAsia" w:ascii="仿宋" w:hAnsi="仿宋" w:eastAsia="仿宋" w:cs="仿宋"/>
                <w:sz w:val="24"/>
              </w:rPr>
              <w:t>每卷20米，</w:t>
            </w:r>
          </w:p>
          <w:p w14:paraId="667A3AA4">
            <w:pPr>
              <w:widowControl/>
              <w:spacing w:line="360" w:lineRule="auto"/>
              <w:jc w:val="center"/>
              <w:textAlignment w:val="center"/>
              <w:rPr>
                <w:rFonts w:hint="default" w:ascii="仿宋" w:hAnsi="仿宋" w:eastAsia="仿宋" w:cs="仿宋"/>
                <w:sz w:val="24"/>
                <w:lang w:val="en-US" w:eastAsia="zh-CN"/>
              </w:rPr>
            </w:pPr>
            <w:r>
              <w:rPr>
                <w:rFonts w:hint="eastAsia" w:ascii="仿宋" w:hAnsi="仿宋" w:eastAsia="仿宋" w:cs="仿宋"/>
                <w:sz w:val="24"/>
              </w:rPr>
              <w:t>含配套水带接合器和不锈钢快速卡箍</w:t>
            </w:r>
            <w:r>
              <w:rPr>
                <w:rFonts w:hint="eastAsia" w:ascii="仿宋" w:hAnsi="仿宋" w:eastAsia="仿宋" w:cs="仿宋"/>
                <w:sz w:val="24"/>
                <w:lang w:eastAsia="zh-CN"/>
              </w:rPr>
              <w:t>，</w:t>
            </w:r>
            <w:r>
              <w:rPr>
                <w:rFonts w:hint="eastAsia" w:ascii="仿宋" w:hAnsi="仿宋" w:eastAsia="仿宋" w:cs="仿宋"/>
                <w:sz w:val="24"/>
                <w:lang w:val="en-US" w:eastAsia="zh-CN"/>
              </w:rPr>
              <w:t>阴阳角接头</w:t>
            </w:r>
          </w:p>
        </w:tc>
        <w:tc>
          <w:tcPr>
            <w:tcW w:w="76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3B42547">
            <w:pPr>
              <w:widowControl/>
              <w:spacing w:line="360" w:lineRule="auto"/>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c>
          <w:tcPr>
            <w:tcW w:w="1433" w:type="dxa"/>
            <w:tcBorders>
              <w:top w:val="single" w:color="auto" w:sz="4" w:space="0"/>
              <w:left w:val="single" w:color="auto" w:sz="4" w:space="0"/>
              <w:bottom w:val="single" w:color="auto" w:sz="4" w:space="0"/>
              <w:right w:val="single" w:color="auto" w:sz="4" w:space="0"/>
            </w:tcBorders>
            <w:vAlign w:val="center"/>
          </w:tcPr>
          <w:p w14:paraId="47503213">
            <w:pPr>
              <w:widowControl/>
              <w:spacing w:line="360" w:lineRule="auto"/>
              <w:jc w:val="center"/>
              <w:textAlignment w:val="center"/>
              <w:rPr>
                <w:rFonts w:hint="default" w:ascii="仿宋" w:hAnsi="仿宋" w:eastAsia="仿宋" w:cs="仿宋"/>
                <w:sz w:val="24"/>
                <w:lang w:val="en-US"/>
              </w:rPr>
            </w:pPr>
            <w:r>
              <w:rPr>
                <w:rFonts w:hint="eastAsia" w:ascii="仿宋" w:hAnsi="仿宋" w:eastAsia="仿宋" w:cs="仿宋"/>
                <w:sz w:val="24"/>
                <w:lang w:val="en-US" w:eastAsia="zh-CN"/>
              </w:rPr>
              <w:t xml:space="preserve">1850 </w:t>
            </w:r>
          </w:p>
        </w:tc>
        <w:tc>
          <w:tcPr>
            <w:tcW w:w="1450" w:type="dxa"/>
            <w:tcBorders>
              <w:top w:val="single" w:color="auto" w:sz="4" w:space="0"/>
              <w:left w:val="single" w:color="auto" w:sz="4" w:space="0"/>
              <w:bottom w:val="single" w:color="auto" w:sz="4" w:space="0"/>
              <w:right w:val="single" w:color="auto" w:sz="4" w:space="0"/>
            </w:tcBorders>
            <w:vAlign w:val="center"/>
          </w:tcPr>
          <w:p w14:paraId="4614BFB5">
            <w:pPr>
              <w:widowControl/>
              <w:spacing w:line="360" w:lineRule="auto"/>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7400</w:t>
            </w:r>
          </w:p>
        </w:tc>
        <w:tc>
          <w:tcPr>
            <w:tcW w:w="1105" w:type="dxa"/>
            <w:tcBorders>
              <w:top w:val="single" w:color="auto" w:sz="4" w:space="0"/>
              <w:left w:val="single" w:color="auto" w:sz="4" w:space="0"/>
              <w:bottom w:val="single" w:color="auto" w:sz="4" w:space="0"/>
              <w:right w:val="single" w:color="auto" w:sz="4" w:space="0"/>
            </w:tcBorders>
            <w:vAlign w:val="center"/>
          </w:tcPr>
          <w:p w14:paraId="6CB592B0">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2年</w:t>
            </w:r>
          </w:p>
        </w:tc>
      </w:tr>
      <w:tr w14:paraId="25CC37DB">
        <w:tblPrEx>
          <w:tblCellMar>
            <w:top w:w="0" w:type="dxa"/>
            <w:left w:w="0" w:type="dxa"/>
            <w:bottom w:w="0" w:type="dxa"/>
            <w:right w:w="0" w:type="dxa"/>
          </w:tblCellMar>
        </w:tblPrEx>
        <w:trPr>
          <w:trHeight w:val="1088" w:hRule="atLeast"/>
          <w:jc w:val="center"/>
        </w:trPr>
        <w:tc>
          <w:tcPr>
            <w:tcW w:w="60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45BD052">
            <w:pPr>
              <w:widowControl/>
              <w:spacing w:line="360" w:lineRule="auto"/>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19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E1894E">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便携式水泵配套排水带</w:t>
            </w:r>
          </w:p>
        </w:tc>
        <w:tc>
          <w:tcPr>
            <w:tcW w:w="31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9301BA6">
            <w:pPr>
              <w:widowControl/>
              <w:spacing w:line="360" w:lineRule="auto"/>
              <w:jc w:val="center"/>
              <w:textAlignment w:val="center"/>
              <w:rPr>
                <w:rFonts w:hint="eastAsia" w:ascii="仿宋" w:hAnsi="仿宋" w:eastAsia="仿宋" w:cs="仿宋"/>
                <w:sz w:val="24"/>
                <w:lang w:eastAsia="zh-CN"/>
              </w:rPr>
            </w:pPr>
            <w:r>
              <w:rPr>
                <w:rFonts w:hint="eastAsia" w:ascii="仿宋" w:hAnsi="仿宋" w:eastAsia="仿宋" w:cs="仿宋"/>
                <w:sz w:val="24"/>
              </w:rPr>
              <w:t>DN2</w:t>
            </w:r>
            <w:r>
              <w:rPr>
                <w:rFonts w:hint="eastAsia" w:ascii="仿宋" w:hAnsi="仿宋" w:eastAsia="仿宋" w:cs="仿宋"/>
                <w:sz w:val="24"/>
                <w:lang w:val="en-US" w:eastAsia="zh-CN"/>
              </w:rPr>
              <w:t>0</w:t>
            </w:r>
            <w:r>
              <w:rPr>
                <w:rFonts w:hint="eastAsia" w:ascii="仿宋" w:hAnsi="仿宋" w:eastAsia="仿宋" w:cs="仿宋"/>
                <w:sz w:val="24"/>
              </w:rPr>
              <w:t>0mm</w:t>
            </w:r>
            <w:r>
              <w:rPr>
                <w:rFonts w:hint="eastAsia" w:ascii="仿宋" w:hAnsi="仿宋" w:eastAsia="仿宋" w:cs="仿宋"/>
                <w:sz w:val="24"/>
                <w:lang w:eastAsia="zh-CN"/>
              </w:rPr>
              <w:t>，每卷 20米，</w:t>
            </w:r>
          </w:p>
          <w:p w14:paraId="2F0B592B">
            <w:pPr>
              <w:widowControl/>
              <w:spacing w:line="360" w:lineRule="auto"/>
              <w:jc w:val="center"/>
              <w:textAlignment w:val="center"/>
              <w:rPr>
                <w:rFonts w:hint="eastAsia" w:ascii="仿宋" w:hAnsi="仿宋" w:eastAsia="仿宋" w:cs="仿宋"/>
                <w:sz w:val="24"/>
                <w:lang w:eastAsia="zh-CN"/>
              </w:rPr>
            </w:pPr>
            <w:r>
              <w:rPr>
                <w:rFonts w:hint="eastAsia" w:ascii="仿宋" w:hAnsi="仿宋" w:eastAsia="仿宋" w:cs="仿宋"/>
                <w:sz w:val="24"/>
                <w:lang w:eastAsia="zh-CN"/>
              </w:rPr>
              <w:t>含配套水带接合器和不锈钢快速卡箍，</w:t>
            </w:r>
            <w:r>
              <w:rPr>
                <w:rFonts w:hint="eastAsia" w:ascii="仿宋" w:hAnsi="仿宋" w:eastAsia="仿宋" w:cs="仿宋"/>
                <w:sz w:val="24"/>
                <w:lang w:val="en-US" w:eastAsia="zh-CN"/>
              </w:rPr>
              <w:t>阴阳角接头</w:t>
            </w:r>
          </w:p>
        </w:tc>
        <w:tc>
          <w:tcPr>
            <w:tcW w:w="76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B0AC400">
            <w:pPr>
              <w:widowControl/>
              <w:spacing w:line="360" w:lineRule="auto"/>
              <w:jc w:val="center"/>
              <w:textAlignment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433" w:type="dxa"/>
            <w:tcBorders>
              <w:top w:val="single" w:color="auto" w:sz="4" w:space="0"/>
              <w:left w:val="single" w:color="auto" w:sz="4" w:space="0"/>
              <w:bottom w:val="single" w:color="auto" w:sz="4" w:space="0"/>
              <w:right w:val="single" w:color="auto" w:sz="4" w:space="0"/>
            </w:tcBorders>
            <w:vAlign w:val="center"/>
          </w:tcPr>
          <w:p w14:paraId="30585ABD">
            <w:pPr>
              <w:widowControl/>
              <w:spacing w:line="360" w:lineRule="auto"/>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1700</w:t>
            </w:r>
          </w:p>
        </w:tc>
        <w:tc>
          <w:tcPr>
            <w:tcW w:w="1450" w:type="dxa"/>
            <w:tcBorders>
              <w:top w:val="single" w:color="auto" w:sz="4" w:space="0"/>
              <w:left w:val="single" w:color="auto" w:sz="4" w:space="0"/>
              <w:bottom w:val="single" w:color="auto" w:sz="4" w:space="0"/>
              <w:right w:val="single" w:color="auto" w:sz="4" w:space="0"/>
            </w:tcBorders>
            <w:vAlign w:val="center"/>
          </w:tcPr>
          <w:p w14:paraId="7C9500F7">
            <w:pPr>
              <w:widowControl/>
              <w:spacing w:line="360" w:lineRule="auto"/>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6800</w:t>
            </w:r>
          </w:p>
        </w:tc>
        <w:tc>
          <w:tcPr>
            <w:tcW w:w="1105" w:type="dxa"/>
            <w:tcBorders>
              <w:top w:val="single" w:color="auto" w:sz="4" w:space="0"/>
              <w:left w:val="single" w:color="auto" w:sz="4" w:space="0"/>
              <w:bottom w:val="single" w:color="auto" w:sz="4" w:space="0"/>
              <w:right w:val="single" w:color="auto" w:sz="4" w:space="0"/>
            </w:tcBorders>
            <w:vAlign w:val="center"/>
          </w:tcPr>
          <w:p w14:paraId="04898DC7">
            <w:pPr>
              <w:widowControl/>
              <w:spacing w:line="360" w:lineRule="auto"/>
              <w:jc w:val="center"/>
              <w:textAlignment w:val="center"/>
              <w:rPr>
                <w:rFonts w:hint="eastAsia" w:ascii="仿宋" w:hAnsi="仿宋" w:eastAsia="仿宋" w:cs="仿宋"/>
                <w:kern w:val="0"/>
                <w:sz w:val="24"/>
              </w:rPr>
            </w:pPr>
            <w:r>
              <w:rPr>
                <w:rFonts w:hint="eastAsia" w:ascii="仿宋" w:hAnsi="仿宋" w:eastAsia="仿宋" w:cs="仿宋"/>
                <w:kern w:val="0"/>
                <w:sz w:val="24"/>
              </w:rPr>
              <w:t>2年</w:t>
            </w:r>
          </w:p>
        </w:tc>
      </w:tr>
    </w:tbl>
    <w:p w14:paraId="306BE1EA">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w:t>
      </w:r>
      <w:r>
        <w:rPr>
          <w:rFonts w:hint="eastAsia" w:ascii="仿宋" w:hAnsi="仿宋" w:eastAsia="仿宋" w:cs="仿宋"/>
          <w:kern w:val="0"/>
          <w:sz w:val="30"/>
          <w:szCs w:val="30"/>
        </w:rPr>
        <w:t>质保期：</w:t>
      </w:r>
      <w:r>
        <w:rPr>
          <w:rFonts w:hint="eastAsia" w:ascii="仿宋" w:hAnsi="仿宋" w:eastAsia="仿宋" w:cs="仿宋"/>
          <w:kern w:val="0"/>
          <w:sz w:val="30"/>
          <w:szCs w:val="30"/>
          <w:lang w:bidi="ar"/>
        </w:rPr>
        <w:t>质保期为贰年。自货物验收合格之日起算。</w:t>
      </w:r>
    </w:p>
    <w:p w14:paraId="371A1377">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2、报价人应保证货物是全新、未使用过的原始生产厂家生产的合格正品，保证货物、货物原材料、生产过程完全符合国家标准、行业标准、环境保护要求、职业健康安全要求，不存在任何设计或制造上的缺陷。</w:t>
      </w:r>
    </w:p>
    <w:p w14:paraId="4E857A6E">
      <w:pPr>
        <w:widowControl/>
        <w:spacing w:line="54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三、资质要求：提供合格有效的企业法人营业执照复印件加盖公章（原件待采购人需要时备查）。</w:t>
      </w:r>
    </w:p>
    <w:p w14:paraId="1BC54ADD">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四、本项目总价最高限价为</w:t>
      </w:r>
      <w:r>
        <w:rPr>
          <w:rFonts w:hint="eastAsia" w:ascii="仿宋" w:hAnsi="仿宋" w:eastAsia="仿宋" w:cs="仿宋"/>
          <w:kern w:val="0"/>
          <w:sz w:val="30"/>
          <w:szCs w:val="30"/>
          <w:lang w:val="en-US" w:eastAsia="zh-CN" w:bidi="ar"/>
        </w:rPr>
        <w:t>14200</w:t>
      </w:r>
      <w:r>
        <w:rPr>
          <w:rFonts w:hint="eastAsia" w:ascii="仿宋" w:hAnsi="仿宋" w:eastAsia="仿宋" w:cs="仿宋"/>
          <w:kern w:val="0"/>
          <w:sz w:val="30"/>
          <w:szCs w:val="30"/>
          <w:lang w:bidi="ar"/>
        </w:rPr>
        <w:t>元，本项目总报价不得超过最高限价。</w:t>
      </w:r>
    </w:p>
    <w:p w14:paraId="42BB6201">
      <w:pPr>
        <w:widowControl/>
        <w:numPr>
          <w:ilvl w:val="255"/>
          <w:numId w:val="0"/>
        </w:numPr>
        <w:spacing w:line="54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五、本次采用"最低价评选法"确定中选单位。在资格条件符合要求的情况下，总价报价最低者中选。</w:t>
      </w:r>
    </w:p>
    <w:p w14:paraId="550D5E91">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六、结算方式：本项目货物交货后付款。</w:t>
      </w:r>
    </w:p>
    <w:p w14:paraId="7B2FD40E">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ascii="仿宋" w:hAnsi="仿宋" w:eastAsia="仿宋" w:cs="仿宋"/>
          <w:kern w:val="0"/>
          <w:sz w:val="30"/>
          <w:szCs w:val="30"/>
          <w:lang w:bidi="ar"/>
        </w:rPr>
        <w:t>1.货物经采购人质量验收合格且中选供应商提供符合要求的付款申请材料后30个日历日内，采购人支付</w:t>
      </w:r>
      <w:r>
        <w:rPr>
          <w:rFonts w:hint="eastAsia" w:ascii="仿宋" w:hAnsi="仿宋" w:eastAsia="仿宋" w:cs="仿宋"/>
          <w:kern w:val="0"/>
          <w:sz w:val="30"/>
          <w:szCs w:val="30"/>
          <w:lang w:bidi="ar"/>
        </w:rPr>
        <w:t>9</w:t>
      </w:r>
      <w:r>
        <w:rPr>
          <w:rFonts w:ascii="仿宋" w:hAnsi="仿宋" w:eastAsia="仿宋" w:cs="仿宋"/>
          <w:kern w:val="0"/>
          <w:sz w:val="30"/>
          <w:szCs w:val="30"/>
          <w:lang w:bidi="ar"/>
        </w:rPr>
        <w:t>5%货款。</w:t>
      </w:r>
    </w:p>
    <w:p w14:paraId="48D831D8">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2.采购人预留合同总金额的5%作为质保金，货物经采购人验收合格后待质保期满手续完整且扣除应由中选供应商支付的违约金等相关费用后</w:t>
      </w:r>
      <w:r>
        <w:rPr>
          <w:rFonts w:hint="eastAsia" w:ascii="仿宋" w:hAnsi="仿宋" w:eastAsia="仿宋" w:cs="仿宋"/>
          <w:kern w:val="0"/>
          <w:sz w:val="30"/>
          <w:szCs w:val="30"/>
          <w:lang w:bidi="ar"/>
        </w:rPr>
        <w:t>10</w:t>
      </w:r>
      <w:r>
        <w:rPr>
          <w:rFonts w:ascii="仿宋" w:hAnsi="仿宋" w:eastAsia="仿宋" w:cs="仿宋"/>
          <w:kern w:val="0"/>
          <w:sz w:val="30"/>
          <w:szCs w:val="30"/>
          <w:lang w:bidi="ar"/>
        </w:rPr>
        <w:t>个工作日内无息返还。质保期为</w:t>
      </w:r>
      <w:r>
        <w:rPr>
          <w:rFonts w:hint="eastAsia" w:ascii="仿宋" w:hAnsi="仿宋" w:eastAsia="仿宋" w:cs="仿宋"/>
          <w:kern w:val="0"/>
          <w:sz w:val="30"/>
          <w:szCs w:val="30"/>
          <w:lang w:bidi="ar"/>
        </w:rPr>
        <w:t>贰</w:t>
      </w:r>
      <w:r>
        <w:rPr>
          <w:rFonts w:ascii="仿宋" w:hAnsi="仿宋" w:eastAsia="仿宋" w:cs="仿宋"/>
          <w:kern w:val="0"/>
          <w:sz w:val="30"/>
          <w:szCs w:val="30"/>
          <w:lang w:bidi="ar"/>
        </w:rPr>
        <w:t>年，自货物验收合格之日起算。质保期满后三年内，中选供应商仍未向采购人申请退还质保金的，已付款视为结算款，即中选供应商自愿放弃质保金。</w:t>
      </w:r>
    </w:p>
    <w:p w14:paraId="6C38768A">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ascii="仿宋" w:hAnsi="仿宋" w:eastAsia="仿宋" w:cs="仿宋"/>
          <w:kern w:val="0"/>
          <w:sz w:val="30"/>
          <w:szCs w:val="30"/>
          <w:lang w:bidi="ar"/>
        </w:rPr>
        <w:t>3.采购人有权选择通过电汇、支票、网上支付、银行承兑汇票等方式付款，如采购人通过银行承兑汇票付款，除合同另有约定外，贴现费用由采购人承担，但中选供应商应在贴现前1天通知采购人，否则采购人有权拒绝支付贴现费用。</w:t>
      </w:r>
    </w:p>
    <w:p w14:paraId="1CF16FC2">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七、</w:t>
      </w:r>
      <w:r>
        <w:rPr>
          <w:rFonts w:ascii="仿宋" w:hAnsi="仿宋" w:eastAsia="仿宋" w:cs="仿宋"/>
          <w:kern w:val="0"/>
          <w:sz w:val="30"/>
          <w:szCs w:val="30"/>
          <w:lang w:bidi="ar"/>
        </w:rPr>
        <w:t>递交报价文件地点：</w:t>
      </w:r>
      <w:r>
        <w:rPr>
          <w:rFonts w:hint="eastAsia" w:ascii="仿宋" w:hAnsi="仿宋" w:eastAsia="仿宋" w:cs="仿宋"/>
          <w:kern w:val="0"/>
          <w:sz w:val="30"/>
          <w:szCs w:val="30"/>
          <w:lang w:bidi="ar"/>
        </w:rPr>
        <w:t>福州市长乐区滨海新城CBD区域新投商务中心15楼滨海水务。</w:t>
      </w:r>
    </w:p>
    <w:p w14:paraId="38F10492">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八、联系方式</w:t>
      </w:r>
    </w:p>
    <w:p w14:paraId="624293B8">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联系人：姜工</w:t>
      </w:r>
      <w:r>
        <w:rPr>
          <w:rFonts w:hint="eastAsia" w:ascii="仿宋" w:hAnsi="仿宋" w:eastAsia="仿宋" w:cs="仿宋"/>
          <w:kern w:val="0"/>
          <w:sz w:val="30"/>
          <w:szCs w:val="30"/>
          <w:lang w:val="en-US" w:eastAsia="zh-CN" w:bidi="ar"/>
        </w:rPr>
        <w:t xml:space="preserve">  </w:t>
      </w:r>
      <w:r>
        <w:rPr>
          <w:rFonts w:hint="eastAsia" w:ascii="仿宋" w:hAnsi="仿宋" w:eastAsia="仿宋" w:cs="仿宋"/>
          <w:kern w:val="0"/>
          <w:sz w:val="30"/>
          <w:szCs w:val="30"/>
          <w:lang w:bidi="ar"/>
        </w:rPr>
        <w:t>联系电话：0591-28559620</w:t>
      </w:r>
    </w:p>
    <w:p w14:paraId="7769ECE0">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九、报价文件按以下资料提交：</w:t>
      </w:r>
    </w:p>
    <w:p w14:paraId="464E5ED6">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(1)报价文件递交时间：</w:t>
      </w:r>
      <w:r>
        <w:rPr>
          <w:rFonts w:hint="eastAsia" w:ascii="仿宋" w:hAnsi="仿宋" w:eastAsia="仿宋" w:cs="仿宋"/>
          <w:kern w:val="0"/>
          <w:sz w:val="30"/>
          <w:szCs w:val="30"/>
          <w:u w:val="single"/>
          <w:lang w:bidi="ar"/>
        </w:rPr>
        <w:t>202</w:t>
      </w:r>
      <w:r>
        <w:rPr>
          <w:rFonts w:hint="eastAsia" w:ascii="仿宋" w:hAnsi="仿宋" w:eastAsia="仿宋" w:cs="仿宋"/>
          <w:kern w:val="0"/>
          <w:sz w:val="30"/>
          <w:szCs w:val="30"/>
          <w:u w:val="single"/>
          <w:lang w:val="en-US" w:eastAsia="zh-CN" w:bidi="ar"/>
        </w:rPr>
        <w:t>5</w:t>
      </w:r>
      <w:r>
        <w:rPr>
          <w:rFonts w:hint="eastAsia" w:ascii="仿宋" w:hAnsi="仿宋" w:eastAsia="仿宋" w:cs="仿宋"/>
          <w:kern w:val="0"/>
          <w:sz w:val="30"/>
          <w:szCs w:val="30"/>
          <w:u w:val="single"/>
          <w:lang w:bidi="ar"/>
        </w:rPr>
        <w:t>年</w:t>
      </w:r>
      <w:r>
        <w:rPr>
          <w:rFonts w:hint="eastAsia" w:ascii="仿宋" w:hAnsi="仿宋" w:eastAsia="仿宋" w:cs="仿宋"/>
          <w:color w:val="FF0000"/>
          <w:kern w:val="0"/>
          <w:sz w:val="30"/>
          <w:szCs w:val="30"/>
          <w:u w:val="single"/>
          <w:lang w:val="en-US" w:eastAsia="zh-CN" w:bidi="ar"/>
        </w:rPr>
        <w:t>9</w:t>
      </w:r>
      <w:r>
        <w:rPr>
          <w:rFonts w:hint="eastAsia" w:ascii="仿宋" w:hAnsi="仿宋" w:eastAsia="仿宋" w:cs="仿宋"/>
          <w:kern w:val="0"/>
          <w:sz w:val="30"/>
          <w:szCs w:val="30"/>
          <w:u w:val="single"/>
          <w:lang w:bidi="ar"/>
        </w:rPr>
        <w:t>月</w:t>
      </w:r>
      <w:r>
        <w:rPr>
          <w:rFonts w:hint="eastAsia" w:ascii="仿宋" w:hAnsi="仿宋" w:eastAsia="仿宋" w:cs="仿宋"/>
          <w:color w:val="FF0000"/>
          <w:kern w:val="0"/>
          <w:sz w:val="30"/>
          <w:szCs w:val="30"/>
          <w:u w:val="single"/>
          <w:lang w:val="en-US" w:eastAsia="zh-CN" w:bidi="ar"/>
        </w:rPr>
        <w:t>4</w:t>
      </w:r>
      <w:r>
        <w:rPr>
          <w:rFonts w:hint="eastAsia" w:ascii="仿宋" w:hAnsi="仿宋" w:eastAsia="仿宋" w:cs="仿宋"/>
          <w:kern w:val="0"/>
          <w:sz w:val="30"/>
          <w:szCs w:val="30"/>
          <w:u w:val="single"/>
          <w:lang w:bidi="ar"/>
        </w:rPr>
        <w:t>日15：00</w:t>
      </w:r>
      <w:r>
        <w:rPr>
          <w:rFonts w:hint="eastAsia" w:ascii="仿宋" w:hAnsi="仿宋" w:eastAsia="仿宋" w:cs="仿宋"/>
          <w:kern w:val="0"/>
          <w:sz w:val="30"/>
          <w:szCs w:val="30"/>
          <w:lang w:bidi="ar"/>
        </w:rPr>
        <w:t>(北京时间)前送达（或寄到），递交报价文件人员(非法定代表人)要求携带授权委托书(详见附件2)、委托人的身份证复印件并加盖公章，如材料未按时递交或递交不全的视为自动放弃。不符合货物内容规定的报价文件恕不接受。</w:t>
      </w:r>
    </w:p>
    <w:p w14:paraId="1A851713">
      <w:pPr>
        <w:widowControl/>
        <w:numPr>
          <w:ilvl w:val="255"/>
          <w:numId w:val="0"/>
        </w:numPr>
        <w:spacing w:line="560" w:lineRule="exact"/>
        <w:ind w:firstLine="600" w:firstLineChars="2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(2)密封性要求：密封完整，并在封口处加盖报价人单位公章，封面注明项目名称、单位名称、时间、</w:t>
      </w:r>
      <w:r>
        <w:rPr>
          <w:rFonts w:hint="eastAsia" w:ascii="仿宋" w:hAnsi="仿宋" w:eastAsia="仿宋" w:cs="仿宋"/>
          <w:kern w:val="0"/>
          <w:sz w:val="30"/>
          <w:szCs w:val="30"/>
        </w:rPr>
        <w:t>联系人及联系电话</w:t>
      </w:r>
      <w:r>
        <w:rPr>
          <w:rFonts w:hint="eastAsia" w:ascii="仿宋" w:hAnsi="仿宋" w:eastAsia="仿宋" w:cs="仿宋"/>
          <w:kern w:val="0"/>
          <w:sz w:val="30"/>
          <w:szCs w:val="30"/>
          <w:lang w:bidi="ar"/>
        </w:rPr>
        <w:t>。</w:t>
      </w:r>
    </w:p>
    <w:p w14:paraId="4D2E307F">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(3)报价文件内容：</w:t>
      </w:r>
    </w:p>
    <w:p w14:paraId="6A61F076">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A.项目询价承诺函及报价表(附件3)；</w:t>
      </w:r>
    </w:p>
    <w:p w14:paraId="096F96F0">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B.营业执照复印件（原件待采购人需要时备查）；</w:t>
      </w:r>
    </w:p>
    <w:p w14:paraId="22E48B9A">
      <w:pPr>
        <w:widowControl/>
        <w:numPr>
          <w:ilvl w:val="255"/>
          <w:numId w:val="0"/>
        </w:numPr>
        <w:spacing w:line="560" w:lineRule="exact"/>
        <w:ind w:firstLine="602" w:firstLineChars="200"/>
        <w:rPr>
          <w:rFonts w:hint="eastAsia" w:ascii="仿宋" w:hAnsi="仿宋" w:eastAsia="仿宋" w:cs="仿宋"/>
          <w:b/>
          <w:bCs/>
          <w:kern w:val="0"/>
          <w:sz w:val="30"/>
          <w:szCs w:val="30"/>
          <w:lang w:eastAsia="zh-CN" w:bidi="ar"/>
        </w:rPr>
      </w:pPr>
      <w:r>
        <w:rPr>
          <w:rFonts w:ascii="仿宋" w:hAnsi="仿宋" w:eastAsia="仿宋" w:cs="仿宋"/>
          <w:b/>
          <w:bCs/>
          <w:kern w:val="0"/>
          <w:sz w:val="30"/>
          <w:szCs w:val="30"/>
          <w:lang w:bidi="ar"/>
        </w:rPr>
        <w:t>C.法定代表人身份证复印件；</w:t>
      </w:r>
    </w:p>
    <w:p w14:paraId="63FE7AD2">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以上资料加盖公章，装订成册（一式两份），</w:t>
      </w:r>
      <w:r>
        <w:rPr>
          <w:rFonts w:hint="eastAsia" w:ascii="仿宋" w:hAnsi="仿宋" w:eastAsia="仿宋" w:cs="仿宋"/>
          <w:b/>
          <w:bCs/>
          <w:kern w:val="0"/>
          <w:sz w:val="30"/>
          <w:szCs w:val="30"/>
        </w:rPr>
        <w:t>电子文件一份（电子文件通过U盘文件或光盘文件形式与纸质报价文件同步提供，需提供签字、盖章完成的报价文件正本扫描件PDF格式一份。）</w:t>
      </w:r>
    </w:p>
    <w:p w14:paraId="55B1135D">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十</w:t>
      </w:r>
      <w:r>
        <w:rPr>
          <w:rFonts w:ascii="仿宋" w:hAnsi="仿宋" w:eastAsia="仿宋" w:cs="仿宋"/>
          <w:kern w:val="0"/>
          <w:sz w:val="30"/>
          <w:szCs w:val="30"/>
          <w:lang w:bidi="ar"/>
        </w:rPr>
        <w:t>、本询价文件的解释权属于</w:t>
      </w:r>
      <w:r>
        <w:rPr>
          <w:rFonts w:hint="eastAsia" w:ascii="仿宋" w:hAnsi="仿宋" w:eastAsia="仿宋" w:cs="仿宋"/>
          <w:kern w:val="0"/>
          <w:sz w:val="30"/>
          <w:szCs w:val="30"/>
          <w:lang w:bidi="ar"/>
        </w:rPr>
        <w:t>福州市滨海水务发展有限公司</w:t>
      </w:r>
      <w:r>
        <w:rPr>
          <w:rFonts w:ascii="仿宋" w:hAnsi="仿宋" w:eastAsia="仿宋" w:cs="仿宋"/>
          <w:kern w:val="0"/>
          <w:sz w:val="30"/>
          <w:szCs w:val="30"/>
          <w:lang w:bidi="ar"/>
        </w:rPr>
        <w:t>。</w:t>
      </w:r>
    </w:p>
    <w:p w14:paraId="156DBF3F">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bidi="ar"/>
        </w:rPr>
        <w:t>一、</w:t>
      </w:r>
      <w:r>
        <w:rPr>
          <w:rFonts w:ascii="仿宋" w:hAnsi="仿宋" w:eastAsia="仿宋" w:cs="仿宋"/>
          <w:kern w:val="0"/>
          <w:sz w:val="30"/>
          <w:szCs w:val="30"/>
          <w:lang w:bidi="ar"/>
        </w:rPr>
        <w:t>以上如有变更，另行通知。</w:t>
      </w:r>
    </w:p>
    <w:p w14:paraId="1C61958F">
      <w:pPr>
        <w:widowControl/>
        <w:spacing w:line="560" w:lineRule="exact"/>
        <w:rPr>
          <w:rFonts w:ascii="仿宋" w:hAnsi="仿宋" w:eastAsia="仿宋" w:cs="仿宋"/>
          <w:kern w:val="0"/>
          <w:sz w:val="30"/>
          <w:szCs w:val="30"/>
          <w:lang w:bidi="ar"/>
        </w:rPr>
      </w:pPr>
    </w:p>
    <w:p w14:paraId="64C54181">
      <w:pPr>
        <w:widowControl/>
        <w:spacing w:line="560" w:lineRule="exact"/>
        <w:rPr>
          <w:rFonts w:ascii="仿宋" w:hAnsi="仿宋" w:eastAsia="仿宋" w:cs="仿宋"/>
          <w:kern w:val="0"/>
          <w:sz w:val="30"/>
          <w:szCs w:val="30"/>
          <w:lang w:bidi="ar"/>
        </w:rPr>
      </w:pPr>
      <w:r>
        <w:rPr>
          <w:rFonts w:hint="eastAsia" w:ascii="仿宋" w:hAnsi="仿宋" w:eastAsia="仿宋" w:cs="仿宋"/>
          <w:kern w:val="0"/>
          <w:sz w:val="30"/>
          <w:szCs w:val="30"/>
          <w:lang w:bidi="ar"/>
        </w:rPr>
        <w:t>附件：1.采购合同参考文本</w:t>
      </w:r>
    </w:p>
    <w:p w14:paraId="0FF66422">
      <w:pPr>
        <w:widowControl/>
        <w:spacing w:line="560" w:lineRule="exact"/>
        <w:ind w:firstLine="900" w:firstLineChars="3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2.授权委托书</w:t>
      </w:r>
    </w:p>
    <w:p w14:paraId="22BD1A96">
      <w:pPr>
        <w:widowControl/>
        <w:spacing w:line="560" w:lineRule="exact"/>
        <w:ind w:firstLine="900" w:firstLineChars="300"/>
        <w:rPr>
          <w:rFonts w:hint="eastAsia" w:ascii="仿宋" w:hAnsi="仿宋" w:eastAsia="仿宋" w:cs="仿宋"/>
          <w:kern w:val="0"/>
          <w:sz w:val="30"/>
          <w:szCs w:val="30"/>
          <w:lang w:eastAsia="zh-CN" w:bidi="ar"/>
        </w:rPr>
      </w:pPr>
      <w:r>
        <w:rPr>
          <w:rFonts w:hint="eastAsia" w:ascii="仿宋" w:hAnsi="仿宋" w:eastAsia="仿宋" w:cs="仿宋"/>
          <w:kern w:val="0"/>
          <w:sz w:val="30"/>
          <w:szCs w:val="30"/>
          <w:lang w:bidi="ar"/>
        </w:rPr>
        <w:t>3.项目询价承诺函及报价表</w:t>
      </w:r>
    </w:p>
    <w:p w14:paraId="25D1873A">
      <w:pPr>
        <w:widowControl/>
        <w:numPr>
          <w:ins w:id="0" w:author="姜语冰" w:date="2023-12-06T13:52:00Z"/>
        </w:numPr>
        <w:spacing w:line="560" w:lineRule="exact"/>
        <w:ind w:firstLine="600" w:firstLineChars="200"/>
        <w:jc w:val="right"/>
        <w:rPr>
          <w:rFonts w:hint="eastAsia" w:ascii="仿宋" w:hAnsi="仿宋" w:eastAsia="仿宋" w:cs="仿宋"/>
          <w:kern w:val="0"/>
          <w:sz w:val="30"/>
          <w:szCs w:val="30"/>
          <w:lang w:bidi="ar"/>
        </w:rPr>
      </w:pPr>
    </w:p>
    <w:p w14:paraId="60886490">
      <w:pPr>
        <w:widowControl/>
        <w:numPr>
          <w:ins w:id="1" w:author="姜语冰" w:date="2023-12-06T13:52:00Z"/>
        </w:numPr>
        <w:spacing w:line="560" w:lineRule="exact"/>
        <w:ind w:firstLine="600" w:firstLineChars="200"/>
        <w:jc w:val="right"/>
        <w:rPr>
          <w:rFonts w:ascii="仿宋" w:hAnsi="仿宋" w:eastAsia="仿宋" w:cs="仿宋"/>
          <w:kern w:val="0"/>
          <w:sz w:val="30"/>
          <w:szCs w:val="30"/>
          <w:lang w:bidi="ar"/>
        </w:rPr>
      </w:pPr>
      <w:r>
        <w:rPr>
          <w:rFonts w:hint="eastAsia" w:ascii="仿宋" w:hAnsi="仿宋" w:eastAsia="仿宋" w:cs="仿宋"/>
          <w:kern w:val="0"/>
          <w:sz w:val="30"/>
          <w:szCs w:val="30"/>
          <w:lang w:bidi="ar"/>
        </w:rPr>
        <w:t>福州市滨海水务发展有限公司</w:t>
      </w:r>
    </w:p>
    <w:p w14:paraId="4F4DC6E5">
      <w:pPr>
        <w:widowControl/>
        <w:numPr>
          <w:ins w:id="2" w:author="姜语冰" w:date="2023-12-06T13:52:00Z"/>
        </w:numPr>
        <w:spacing w:line="560" w:lineRule="exact"/>
        <w:jc w:val="right"/>
        <w:rPr>
          <w:rFonts w:ascii="仿宋" w:hAnsi="仿宋" w:eastAsia="仿宋" w:cs="仿宋"/>
          <w:kern w:val="0"/>
          <w:sz w:val="30"/>
          <w:szCs w:val="30"/>
          <w:lang w:bidi="ar"/>
        </w:rPr>
      </w:pPr>
      <w:r>
        <w:rPr>
          <w:rFonts w:hint="eastAsia" w:ascii="仿宋" w:hAnsi="仿宋" w:eastAsia="仿宋" w:cs="仿宋"/>
          <w:kern w:val="0"/>
          <w:sz w:val="30"/>
          <w:szCs w:val="30"/>
          <w:lang w:bidi="ar"/>
        </w:rPr>
        <w:t>202</w:t>
      </w:r>
      <w:r>
        <w:rPr>
          <w:rFonts w:hint="eastAsia" w:ascii="仿宋" w:hAnsi="仿宋" w:eastAsia="仿宋" w:cs="仿宋"/>
          <w:kern w:val="0"/>
          <w:sz w:val="30"/>
          <w:szCs w:val="30"/>
          <w:lang w:val="en-US" w:eastAsia="zh-CN" w:bidi="ar"/>
        </w:rPr>
        <w:t>5</w:t>
      </w:r>
      <w:r>
        <w:rPr>
          <w:rFonts w:hint="eastAsia" w:ascii="仿宋" w:hAnsi="仿宋" w:eastAsia="仿宋" w:cs="仿宋"/>
          <w:kern w:val="0"/>
          <w:sz w:val="30"/>
          <w:szCs w:val="30"/>
          <w:lang w:bidi="ar"/>
        </w:rPr>
        <w:t>年</w:t>
      </w:r>
      <w:r>
        <w:rPr>
          <w:rFonts w:hint="eastAsia" w:ascii="仿宋" w:hAnsi="仿宋" w:eastAsia="仿宋" w:cs="仿宋"/>
          <w:kern w:val="0"/>
          <w:sz w:val="30"/>
          <w:szCs w:val="30"/>
          <w:lang w:val="en-US" w:eastAsia="zh-CN" w:bidi="ar"/>
        </w:rPr>
        <w:t>8</w:t>
      </w:r>
      <w:r>
        <w:rPr>
          <w:rFonts w:hint="eastAsia" w:ascii="仿宋" w:hAnsi="仿宋" w:eastAsia="仿宋" w:cs="仿宋"/>
          <w:kern w:val="0"/>
          <w:sz w:val="30"/>
          <w:szCs w:val="30"/>
          <w:lang w:bidi="ar"/>
        </w:rPr>
        <w:t>月</w:t>
      </w:r>
      <w:r>
        <w:rPr>
          <w:rFonts w:hint="eastAsia" w:ascii="仿宋" w:hAnsi="仿宋" w:eastAsia="仿宋" w:cs="仿宋"/>
          <w:kern w:val="0"/>
          <w:sz w:val="30"/>
          <w:szCs w:val="30"/>
          <w:lang w:val="en-US" w:eastAsia="zh-CN" w:bidi="ar"/>
        </w:rPr>
        <w:t>28</w:t>
      </w:r>
      <w:bookmarkStart w:id="0" w:name="_GoBack"/>
      <w:bookmarkEnd w:id="0"/>
      <w:r>
        <w:rPr>
          <w:rFonts w:hint="eastAsia" w:ascii="仿宋" w:hAnsi="仿宋" w:eastAsia="仿宋" w:cs="仿宋"/>
          <w:kern w:val="0"/>
          <w:sz w:val="30"/>
          <w:szCs w:val="30"/>
          <w:lang w:bidi="ar"/>
        </w:rPr>
        <w:t>日</w:t>
      </w:r>
    </w:p>
    <w:p w14:paraId="26020A69">
      <w:pPr>
        <w:widowControl/>
        <w:spacing w:line="600" w:lineRule="exact"/>
        <w:jc w:val="left"/>
        <w:rPr>
          <w:rFonts w:ascii="仿宋" w:hAnsi="仿宋" w:eastAsia="仿宋" w:cs="仿宋"/>
          <w:kern w:val="0"/>
          <w:sz w:val="32"/>
          <w:szCs w:val="32"/>
        </w:rPr>
      </w:pPr>
    </w:p>
    <w:p w14:paraId="2DD2CB7B">
      <w:pPr>
        <w:widowControl/>
        <w:spacing w:line="600" w:lineRule="exact"/>
        <w:jc w:val="left"/>
        <w:rPr>
          <w:rFonts w:ascii="仿宋" w:hAnsi="仿宋" w:eastAsia="仿宋" w:cs="仿宋"/>
          <w:kern w:val="0"/>
          <w:sz w:val="32"/>
          <w:szCs w:val="32"/>
        </w:rPr>
      </w:pPr>
    </w:p>
    <w:p w14:paraId="76A618FD">
      <w:pPr>
        <w:widowControl/>
        <w:spacing w:line="600" w:lineRule="exact"/>
        <w:jc w:val="left"/>
        <w:rPr>
          <w:rFonts w:ascii="仿宋" w:hAnsi="仿宋" w:eastAsia="仿宋" w:cs="仿宋"/>
          <w:kern w:val="0"/>
          <w:sz w:val="32"/>
          <w:szCs w:val="32"/>
        </w:rPr>
      </w:pPr>
    </w:p>
    <w:p w14:paraId="375BFB1C">
      <w:pPr>
        <w:widowControl/>
        <w:jc w:val="left"/>
        <w:rPr>
          <w:rFonts w:ascii="仿宋" w:hAnsi="仿宋" w:eastAsia="仿宋" w:cs="仿宋"/>
          <w:kern w:val="0"/>
          <w:sz w:val="32"/>
          <w:szCs w:val="32"/>
        </w:rPr>
      </w:pPr>
      <w:r>
        <w:rPr>
          <w:rFonts w:hint="eastAsia" w:ascii="仿宋" w:hAnsi="仿宋" w:eastAsia="仿宋" w:cs="仿宋"/>
          <w:kern w:val="0"/>
          <w:sz w:val="32"/>
          <w:szCs w:val="32"/>
        </w:rPr>
        <w:br w:type="page"/>
      </w:r>
    </w:p>
    <w:p w14:paraId="20DFF753">
      <w:pPr>
        <w:widowControl/>
        <w:spacing w:line="600" w:lineRule="exact"/>
        <w:jc w:val="left"/>
        <w:rPr>
          <w:rFonts w:ascii="仿宋" w:hAnsi="仿宋" w:eastAsia="仿宋" w:cs="仿宋"/>
          <w:kern w:val="0"/>
          <w:sz w:val="32"/>
          <w:szCs w:val="32"/>
        </w:rPr>
      </w:pPr>
      <w:r>
        <w:rPr>
          <w:rFonts w:hint="eastAsia" w:ascii="仿宋" w:hAnsi="仿宋" w:eastAsia="仿宋" w:cs="仿宋"/>
          <w:kern w:val="0"/>
          <w:sz w:val="32"/>
          <w:szCs w:val="32"/>
        </w:rPr>
        <w:t>附件1：采购合同文本</w:t>
      </w:r>
    </w:p>
    <w:p w14:paraId="5E333839">
      <w:pPr>
        <w:pStyle w:val="2"/>
        <w:numPr>
          <w:ilvl w:val="255"/>
          <w:numId w:val="0"/>
        </w:numPr>
      </w:pPr>
    </w:p>
    <w:p w14:paraId="603212EC">
      <w:pPr>
        <w:spacing w:line="360" w:lineRule="auto"/>
        <w:jc w:val="center"/>
        <w:rPr>
          <w:rFonts w:ascii="黑体" w:hAnsi="黑体" w:eastAsia="黑体" w:cs="黑体"/>
          <w:b/>
          <w:bCs/>
          <w:sz w:val="52"/>
          <w:szCs w:val="52"/>
        </w:rPr>
      </w:pPr>
      <w:r>
        <w:rPr>
          <w:rFonts w:hint="eastAsia" w:ascii="黑体" w:hAnsi="黑体" w:eastAsia="黑体" w:cs="黑体"/>
          <w:b/>
          <w:bCs/>
          <w:sz w:val="52"/>
          <w:szCs w:val="52"/>
        </w:rPr>
        <w:t>采</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购</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合</w:t>
      </w:r>
      <w:r>
        <w:rPr>
          <w:rFonts w:hint="eastAsia" w:ascii="黑体" w:hAnsi="黑体" w:eastAsia="黑体" w:cs="黑体"/>
          <w:b/>
          <w:bCs/>
          <w:sz w:val="52"/>
          <w:szCs w:val="52"/>
          <w:lang w:val="en-US" w:eastAsia="zh-CN"/>
        </w:rPr>
        <w:t xml:space="preserve"> </w:t>
      </w:r>
      <w:r>
        <w:rPr>
          <w:rFonts w:hint="eastAsia" w:ascii="黑体" w:hAnsi="黑体" w:eastAsia="黑体" w:cs="黑体"/>
          <w:b/>
          <w:bCs/>
          <w:sz w:val="52"/>
          <w:szCs w:val="52"/>
        </w:rPr>
        <w:t>同</w:t>
      </w:r>
    </w:p>
    <w:p w14:paraId="60C92E22">
      <w:pPr>
        <w:pStyle w:val="65"/>
        <w:spacing w:line="360" w:lineRule="auto"/>
      </w:pPr>
    </w:p>
    <w:p w14:paraId="00559F15">
      <w:pPr>
        <w:spacing w:line="360" w:lineRule="auto"/>
        <w:jc w:val="left"/>
        <w:rPr>
          <w:rFonts w:hAnsi="宋体"/>
          <w:b/>
          <w:sz w:val="28"/>
          <w:szCs w:val="30"/>
        </w:rPr>
      </w:pPr>
      <w:r>
        <w:rPr>
          <w:rFonts w:hint="eastAsia" w:hAnsi="宋体"/>
          <w:b/>
          <w:sz w:val="28"/>
          <w:szCs w:val="30"/>
        </w:rPr>
        <w:t>项目名称：动力站和便携水泵的水带采购</w:t>
      </w:r>
    </w:p>
    <w:p w14:paraId="6F86D2B3">
      <w:pPr>
        <w:widowControl/>
        <w:spacing w:line="360" w:lineRule="auto"/>
        <w:jc w:val="left"/>
        <w:rPr>
          <w:rFonts w:hAnsi="宋体"/>
          <w:b/>
          <w:sz w:val="28"/>
          <w:szCs w:val="30"/>
        </w:rPr>
      </w:pPr>
      <w:r>
        <w:rPr>
          <w:rFonts w:hint="eastAsia" w:hAnsi="宋体"/>
          <w:b/>
          <w:sz w:val="28"/>
          <w:szCs w:val="30"/>
        </w:rPr>
        <w:t>项目编号：BHSW2025CG-026</w:t>
      </w:r>
    </w:p>
    <w:p w14:paraId="621F4688">
      <w:pPr>
        <w:spacing w:line="360" w:lineRule="auto"/>
        <w:jc w:val="center"/>
        <w:rPr>
          <w:rFonts w:ascii="黑体" w:hAnsi="黑体" w:cs="黑体"/>
          <w:b/>
          <w:bCs/>
          <w:sz w:val="44"/>
          <w:szCs w:val="44"/>
        </w:rPr>
      </w:pPr>
    </w:p>
    <w:p w14:paraId="413F9FA0">
      <w:pPr>
        <w:pStyle w:val="13"/>
      </w:pPr>
    </w:p>
    <w:p w14:paraId="27761543">
      <w:pPr>
        <w:spacing w:line="360" w:lineRule="auto"/>
        <w:jc w:val="center"/>
        <w:rPr>
          <w:rFonts w:ascii="黑体" w:hAnsi="黑体" w:eastAsia="黑体" w:cs="黑体"/>
          <w:b/>
          <w:bCs/>
          <w:sz w:val="44"/>
          <w:szCs w:val="44"/>
        </w:rPr>
      </w:pPr>
    </w:p>
    <w:p w14:paraId="0F7E607D">
      <w:pPr>
        <w:spacing w:line="360" w:lineRule="auto"/>
        <w:jc w:val="center"/>
        <w:rPr>
          <w:rFonts w:ascii="黑体" w:hAnsi="黑体" w:eastAsia="黑体" w:cs="黑体"/>
          <w:b/>
          <w:bCs/>
          <w:sz w:val="44"/>
          <w:szCs w:val="44"/>
        </w:rPr>
      </w:pPr>
    </w:p>
    <w:p w14:paraId="633C622F">
      <w:pPr>
        <w:spacing w:line="360" w:lineRule="auto"/>
        <w:jc w:val="center"/>
        <w:rPr>
          <w:rFonts w:ascii="黑体" w:hAnsi="黑体" w:eastAsia="黑体" w:cs="黑体"/>
          <w:b/>
          <w:bCs/>
          <w:sz w:val="44"/>
          <w:szCs w:val="44"/>
        </w:rPr>
      </w:pPr>
    </w:p>
    <w:p w14:paraId="761C4B28">
      <w:pPr>
        <w:spacing w:line="360" w:lineRule="auto"/>
        <w:jc w:val="center"/>
        <w:rPr>
          <w:rFonts w:ascii="黑体" w:hAnsi="黑体" w:eastAsia="黑体" w:cs="黑体"/>
          <w:b/>
          <w:bCs/>
          <w:sz w:val="44"/>
          <w:szCs w:val="44"/>
        </w:rPr>
      </w:pPr>
    </w:p>
    <w:p w14:paraId="6C2C712C">
      <w:pPr>
        <w:spacing w:line="360" w:lineRule="auto"/>
        <w:jc w:val="center"/>
        <w:rPr>
          <w:rFonts w:ascii="黑体" w:hAnsi="黑体" w:eastAsia="黑体" w:cs="黑体"/>
          <w:b/>
          <w:bCs/>
          <w:sz w:val="44"/>
          <w:szCs w:val="44"/>
        </w:rPr>
      </w:pPr>
    </w:p>
    <w:p w14:paraId="2E973C99">
      <w:pPr>
        <w:pStyle w:val="12"/>
        <w:ind w:firstLine="883"/>
        <w:rPr>
          <w:rFonts w:ascii="黑体" w:hAnsi="黑体" w:eastAsia="黑体" w:cs="黑体"/>
          <w:b/>
          <w:bCs/>
          <w:sz w:val="44"/>
          <w:szCs w:val="44"/>
        </w:rPr>
      </w:pPr>
    </w:p>
    <w:p w14:paraId="72CED92A">
      <w:pPr>
        <w:pStyle w:val="12"/>
        <w:ind w:firstLine="0" w:firstLineChars="0"/>
        <w:rPr>
          <w:rFonts w:ascii="黑体" w:hAnsi="黑体" w:eastAsia="黑体" w:cs="黑体"/>
          <w:b/>
          <w:bCs/>
          <w:sz w:val="44"/>
          <w:szCs w:val="44"/>
        </w:rPr>
      </w:pPr>
    </w:p>
    <w:p w14:paraId="4A0BC193">
      <w:pPr>
        <w:pStyle w:val="12"/>
        <w:ind w:firstLine="883"/>
        <w:rPr>
          <w:rFonts w:ascii="黑体" w:hAnsi="黑体" w:eastAsia="黑体" w:cs="黑体"/>
          <w:b/>
          <w:bCs/>
          <w:sz w:val="44"/>
          <w:szCs w:val="44"/>
        </w:rPr>
      </w:pPr>
    </w:p>
    <w:p w14:paraId="76382013">
      <w:pPr>
        <w:pStyle w:val="12"/>
        <w:ind w:firstLine="0" w:firstLineChars="0"/>
        <w:rPr>
          <w:rFonts w:ascii="黑体" w:hAnsi="黑体" w:eastAsia="黑体" w:cs="黑体"/>
          <w:b/>
          <w:bCs/>
          <w:sz w:val="44"/>
          <w:szCs w:val="44"/>
        </w:rPr>
      </w:pPr>
    </w:p>
    <w:p w14:paraId="2A9CC45F">
      <w:pPr>
        <w:spacing w:line="360" w:lineRule="auto"/>
        <w:jc w:val="center"/>
        <w:rPr>
          <w:rFonts w:ascii="黑体" w:hAnsi="黑体" w:eastAsia="黑体" w:cs="黑体"/>
          <w:b/>
          <w:bCs/>
          <w:sz w:val="44"/>
          <w:szCs w:val="44"/>
        </w:rPr>
      </w:pPr>
      <w:r>
        <w:rPr>
          <w:rFonts w:hint="eastAsia" w:ascii="黑体" w:hAnsi="黑体" w:eastAsia="黑体" w:cs="黑体"/>
          <w:b/>
          <w:bCs/>
          <w:sz w:val="44"/>
          <w:szCs w:val="44"/>
        </w:rPr>
        <w:t>福州市滨海水务发展有限公司</w:t>
      </w:r>
    </w:p>
    <w:p w14:paraId="7E3A1B45">
      <w:pPr>
        <w:spacing w:line="360" w:lineRule="auto"/>
        <w:jc w:val="center"/>
        <w:rPr>
          <w:rFonts w:ascii="仿宋" w:hAnsi="仿宋" w:eastAsia="仿宋"/>
          <w:sz w:val="30"/>
          <w:szCs w:val="30"/>
        </w:rPr>
        <w:sectPr>
          <w:headerReference r:id="rId3" w:type="default"/>
          <w:footerReference r:id="rId4" w:type="default"/>
          <w:pgSz w:w="11906" w:h="16838"/>
          <w:pgMar w:top="1417" w:right="1417" w:bottom="1417" w:left="1417" w:header="851" w:footer="992" w:gutter="0"/>
          <w:pgNumType w:start="0"/>
          <w:cols w:space="720" w:num="1"/>
          <w:docGrid w:type="line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 xml:space="preserve">  </w:t>
      </w:r>
      <w:r>
        <w:rPr>
          <w:rFonts w:hint="eastAsia" w:ascii="黑体" w:hAnsi="黑体" w:eastAsia="黑体" w:cs="黑体"/>
          <w:sz w:val="30"/>
          <w:szCs w:val="30"/>
        </w:rPr>
        <w:t>月</w:t>
      </w:r>
    </w:p>
    <w:p w14:paraId="755E7BCC">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甲方（以下称甲方）：</w:t>
      </w:r>
      <w:r>
        <w:rPr>
          <w:rFonts w:hint="eastAsia" w:ascii="仿宋" w:hAnsi="仿宋" w:eastAsia="仿宋"/>
          <w:kern w:val="0"/>
          <w:sz w:val="24"/>
          <w:u w:val="single"/>
        </w:rPr>
        <w:t>福州市滨海水务发展有限公司</w:t>
      </w:r>
    </w:p>
    <w:p w14:paraId="04806DA8">
      <w:pPr>
        <w:widowControl/>
        <w:adjustRightInd w:val="0"/>
        <w:snapToGrid w:val="0"/>
        <w:spacing w:line="500" w:lineRule="exact"/>
        <w:ind w:firstLine="480" w:firstLineChars="200"/>
        <w:jc w:val="left"/>
        <w:rPr>
          <w:rFonts w:hint="eastAsia" w:ascii="仿宋" w:hAnsi="仿宋" w:eastAsia="仿宋"/>
          <w:kern w:val="0"/>
          <w:sz w:val="24"/>
          <w:lang w:eastAsia="zh-CN"/>
        </w:rPr>
      </w:pPr>
      <w:r>
        <w:rPr>
          <w:rFonts w:hint="eastAsia" w:ascii="仿宋" w:hAnsi="仿宋" w:eastAsia="仿宋"/>
          <w:kern w:val="0"/>
          <w:sz w:val="24"/>
          <w:lang w:eastAsia="ja-JP"/>
        </w:rPr>
        <w:t>乙方（以下称乙方）：</w:t>
      </w:r>
    </w:p>
    <w:p w14:paraId="5552C1FC">
      <w:pPr>
        <w:widowControl/>
        <w:adjustRightInd w:val="0"/>
        <w:snapToGrid w:val="0"/>
        <w:spacing w:before="156" w:beforeLines="50"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为明确买卖双方的权利和义务，保护双方合法权益，根据《中华人民共和国</w:t>
      </w:r>
      <w:r>
        <w:rPr>
          <w:rFonts w:hint="eastAsia" w:ascii="仿宋" w:hAnsi="仿宋" w:eastAsia="仿宋"/>
          <w:kern w:val="0"/>
          <w:sz w:val="24"/>
        </w:rPr>
        <w:t>民法典</w:t>
      </w:r>
      <w:r>
        <w:rPr>
          <w:rFonts w:hint="eastAsia" w:ascii="仿宋" w:hAnsi="仿宋" w:eastAsia="仿宋"/>
          <w:kern w:val="0"/>
          <w:sz w:val="24"/>
          <w:lang w:eastAsia="ja-JP"/>
        </w:rPr>
        <w:t>》等相关法律、法规的规定，经双方友好协商，现签订本合同，以期共同遵守。</w:t>
      </w:r>
    </w:p>
    <w:p w14:paraId="712C3996">
      <w:pPr>
        <w:widowControl/>
        <w:numPr>
          <w:ilvl w:val="0"/>
          <w:numId w:val="2"/>
        </w:numPr>
        <w:adjustRightInd w:val="0"/>
        <w:snapToGrid w:val="0"/>
        <w:spacing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产品清单及价格明细</w:t>
      </w:r>
    </w:p>
    <w:tbl>
      <w:tblPr>
        <w:tblStyle w:val="22"/>
        <w:tblpPr w:leftFromText="180" w:rightFromText="180" w:vertAnchor="text" w:horzAnchor="page" w:tblpX="1133" w:tblpY="90"/>
        <w:tblOverlap w:val="never"/>
        <w:tblW w:w="9495" w:type="dxa"/>
        <w:jc w:val="center"/>
        <w:tblLayout w:type="fixed"/>
        <w:tblCellMar>
          <w:top w:w="0" w:type="dxa"/>
          <w:left w:w="0" w:type="dxa"/>
          <w:bottom w:w="0" w:type="dxa"/>
          <w:right w:w="0" w:type="dxa"/>
        </w:tblCellMar>
      </w:tblPr>
      <w:tblGrid>
        <w:gridCol w:w="645"/>
        <w:gridCol w:w="1352"/>
        <w:gridCol w:w="3931"/>
        <w:gridCol w:w="1033"/>
        <w:gridCol w:w="1300"/>
        <w:gridCol w:w="1234"/>
      </w:tblGrid>
      <w:tr w14:paraId="6640446A">
        <w:tblPrEx>
          <w:tblCellMar>
            <w:top w:w="0" w:type="dxa"/>
            <w:left w:w="0" w:type="dxa"/>
            <w:bottom w:w="0" w:type="dxa"/>
            <w:right w:w="0" w:type="dxa"/>
          </w:tblCellMar>
        </w:tblPrEx>
        <w:trPr>
          <w:trHeight w:val="690" w:hRule="atLeast"/>
          <w:jc w:val="center"/>
        </w:trPr>
        <w:tc>
          <w:tcPr>
            <w:tcW w:w="64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343D622">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135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3FA9A8C">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3931"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A8D2E22">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03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56B5D83">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个</w:t>
            </w:r>
            <w:r>
              <w:rPr>
                <w:rFonts w:hint="eastAsia" w:ascii="仿宋" w:hAnsi="仿宋" w:eastAsia="仿宋" w:cs="仿宋"/>
                <w:kern w:val="0"/>
                <w:sz w:val="24"/>
              </w:rPr>
              <w:t>）</w:t>
            </w:r>
          </w:p>
        </w:tc>
        <w:tc>
          <w:tcPr>
            <w:tcW w:w="1300" w:type="dxa"/>
            <w:tcBorders>
              <w:top w:val="single" w:color="000000" w:sz="4" w:space="0"/>
              <w:left w:val="single" w:color="000000" w:sz="4" w:space="0"/>
              <w:bottom w:val="single" w:color="auto" w:sz="4" w:space="0"/>
              <w:right w:val="single" w:color="000000" w:sz="4" w:space="0"/>
            </w:tcBorders>
            <w:vAlign w:val="center"/>
          </w:tcPr>
          <w:p w14:paraId="76877FC9">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234" w:type="dxa"/>
            <w:tcBorders>
              <w:top w:val="single" w:color="000000" w:sz="4" w:space="0"/>
              <w:left w:val="single" w:color="000000" w:sz="4" w:space="0"/>
              <w:bottom w:val="single" w:color="auto" w:sz="4" w:space="0"/>
              <w:right w:val="single" w:color="000000" w:sz="4" w:space="0"/>
            </w:tcBorders>
            <w:vAlign w:val="center"/>
          </w:tcPr>
          <w:p w14:paraId="47099F2C">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14:paraId="2A7EF3CE">
        <w:tblPrEx>
          <w:tblCellMar>
            <w:top w:w="0" w:type="dxa"/>
            <w:left w:w="0" w:type="dxa"/>
            <w:bottom w:w="0" w:type="dxa"/>
            <w:right w:w="0" w:type="dxa"/>
          </w:tblCellMar>
        </w:tblPrEx>
        <w:trPr>
          <w:trHeight w:val="815" w:hRule="atLeast"/>
          <w:jc w:val="center"/>
        </w:trPr>
        <w:tc>
          <w:tcPr>
            <w:tcW w:w="6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F04C2B0">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w:t>
            </w:r>
          </w:p>
        </w:tc>
        <w:tc>
          <w:tcPr>
            <w:tcW w:w="135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8E40C17">
            <w:pPr>
              <w:widowControl/>
              <w:spacing w:line="360" w:lineRule="auto"/>
              <w:jc w:val="center"/>
              <w:textAlignment w:val="center"/>
              <w:rPr>
                <w:rFonts w:ascii="仿宋" w:hAnsi="仿宋" w:eastAsia="仿宋" w:cs="仿宋"/>
                <w:sz w:val="24"/>
              </w:rPr>
            </w:pPr>
            <w:r>
              <w:rPr>
                <w:rFonts w:hint="eastAsia" w:ascii="仿宋" w:hAnsi="仿宋" w:eastAsia="仿宋" w:cs="仿宋"/>
                <w:sz w:val="24"/>
              </w:rPr>
              <w:t>动力站配套排水带</w:t>
            </w:r>
          </w:p>
        </w:tc>
        <w:tc>
          <w:tcPr>
            <w:tcW w:w="393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D7B78F0">
            <w:pPr>
              <w:widowControl/>
              <w:spacing w:line="360" w:lineRule="auto"/>
              <w:jc w:val="center"/>
              <w:textAlignment w:val="center"/>
              <w:rPr>
                <w:rFonts w:hint="eastAsia" w:ascii="仿宋" w:hAnsi="仿宋" w:eastAsia="仿宋" w:cs="仿宋"/>
                <w:sz w:val="24"/>
                <w:szCs w:val="24"/>
              </w:rPr>
            </w:pPr>
            <w:r>
              <w:rPr>
                <w:rFonts w:hint="eastAsia" w:ascii="仿宋" w:hAnsi="仿宋" w:eastAsia="仿宋" w:cs="仿宋"/>
                <w:sz w:val="24"/>
              </w:rPr>
              <w:t>DN250mm</w:t>
            </w:r>
            <w:r>
              <w:rPr>
                <w:rFonts w:hint="eastAsia" w:ascii="仿宋" w:hAnsi="仿宋" w:eastAsia="仿宋" w:cs="仿宋"/>
                <w:sz w:val="24"/>
                <w:lang w:eastAsia="zh-CN"/>
              </w:rPr>
              <w:t>，</w:t>
            </w:r>
            <w:r>
              <w:rPr>
                <w:rFonts w:hint="eastAsia" w:ascii="仿宋" w:hAnsi="仿宋" w:eastAsia="仿宋" w:cs="仿宋"/>
                <w:sz w:val="24"/>
              </w:rPr>
              <w:t>每卷20米，含配套水带接合器和不锈钢快速卡箍</w:t>
            </w:r>
            <w:r>
              <w:rPr>
                <w:rFonts w:hint="eastAsia" w:ascii="仿宋" w:hAnsi="仿宋" w:eastAsia="仿宋" w:cs="仿宋"/>
                <w:sz w:val="24"/>
                <w:lang w:eastAsia="zh-CN"/>
              </w:rPr>
              <w:t>，</w:t>
            </w:r>
            <w:r>
              <w:rPr>
                <w:rFonts w:hint="eastAsia" w:ascii="仿宋" w:hAnsi="仿宋" w:eastAsia="仿宋" w:cs="仿宋"/>
                <w:sz w:val="24"/>
                <w:lang w:val="en-US" w:eastAsia="zh-CN"/>
              </w:rPr>
              <w:t>阴阳角接头</w:t>
            </w:r>
          </w:p>
        </w:tc>
        <w:tc>
          <w:tcPr>
            <w:tcW w:w="103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6544756">
            <w:pPr>
              <w:widowControl/>
              <w:spacing w:line="600" w:lineRule="exact"/>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c>
          <w:tcPr>
            <w:tcW w:w="1300" w:type="dxa"/>
            <w:tcBorders>
              <w:top w:val="single" w:color="auto" w:sz="4" w:space="0"/>
              <w:left w:val="single" w:color="auto" w:sz="4" w:space="0"/>
              <w:bottom w:val="single" w:color="auto" w:sz="4" w:space="0"/>
              <w:right w:val="single" w:color="auto" w:sz="4" w:space="0"/>
            </w:tcBorders>
          </w:tcPr>
          <w:p w14:paraId="28941105">
            <w:pPr>
              <w:widowControl/>
              <w:spacing w:line="600" w:lineRule="exact"/>
              <w:jc w:val="center"/>
              <w:textAlignment w:val="center"/>
              <w:rPr>
                <w:rFonts w:ascii="仿宋" w:hAnsi="仿宋" w:eastAsia="仿宋" w:cs="仿宋"/>
                <w:kern w:val="0"/>
                <w:sz w:val="24"/>
              </w:rPr>
            </w:pPr>
          </w:p>
        </w:tc>
        <w:tc>
          <w:tcPr>
            <w:tcW w:w="1234" w:type="dxa"/>
            <w:tcBorders>
              <w:top w:val="single" w:color="auto" w:sz="4" w:space="0"/>
              <w:left w:val="single" w:color="auto" w:sz="4" w:space="0"/>
              <w:bottom w:val="single" w:color="auto" w:sz="4" w:space="0"/>
              <w:right w:val="single" w:color="auto" w:sz="4" w:space="0"/>
            </w:tcBorders>
          </w:tcPr>
          <w:p w14:paraId="1A220655">
            <w:pPr>
              <w:widowControl/>
              <w:spacing w:line="600" w:lineRule="exact"/>
              <w:jc w:val="center"/>
              <w:textAlignment w:val="center"/>
              <w:rPr>
                <w:rFonts w:ascii="仿宋" w:hAnsi="仿宋" w:eastAsia="仿宋" w:cs="仿宋"/>
                <w:kern w:val="0"/>
                <w:sz w:val="24"/>
              </w:rPr>
            </w:pPr>
          </w:p>
        </w:tc>
      </w:tr>
      <w:tr w14:paraId="564B7C51">
        <w:tblPrEx>
          <w:tblCellMar>
            <w:top w:w="0" w:type="dxa"/>
            <w:left w:w="0" w:type="dxa"/>
            <w:bottom w:w="0" w:type="dxa"/>
            <w:right w:w="0" w:type="dxa"/>
          </w:tblCellMar>
        </w:tblPrEx>
        <w:trPr>
          <w:trHeight w:val="857" w:hRule="atLeast"/>
          <w:jc w:val="center"/>
        </w:trPr>
        <w:tc>
          <w:tcPr>
            <w:tcW w:w="6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FD9E3B7">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lang w:val="en-US" w:eastAsia="zh-CN"/>
              </w:rPr>
              <w:t>2</w:t>
            </w:r>
          </w:p>
        </w:tc>
        <w:tc>
          <w:tcPr>
            <w:tcW w:w="135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2D7CF03">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便携式水泵配套排水带</w:t>
            </w:r>
          </w:p>
        </w:tc>
        <w:tc>
          <w:tcPr>
            <w:tcW w:w="393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91BB783">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DN2</w:t>
            </w:r>
            <w:r>
              <w:rPr>
                <w:rFonts w:hint="eastAsia" w:ascii="仿宋" w:hAnsi="仿宋" w:eastAsia="仿宋" w:cs="仿宋"/>
                <w:sz w:val="24"/>
                <w:lang w:val="en-US" w:eastAsia="zh-CN"/>
              </w:rPr>
              <w:t>0</w:t>
            </w:r>
            <w:r>
              <w:rPr>
                <w:rFonts w:hint="eastAsia" w:ascii="仿宋" w:hAnsi="仿宋" w:eastAsia="仿宋" w:cs="仿宋"/>
                <w:sz w:val="24"/>
              </w:rPr>
              <w:t>0mm</w:t>
            </w:r>
            <w:r>
              <w:rPr>
                <w:rFonts w:hint="eastAsia" w:ascii="仿宋" w:hAnsi="仿宋" w:eastAsia="仿宋" w:cs="仿宋"/>
                <w:sz w:val="24"/>
                <w:lang w:eastAsia="zh-CN"/>
              </w:rPr>
              <w:t>，每卷 20米，含配套水带接合器和不锈钢快速卡箍，</w:t>
            </w:r>
            <w:r>
              <w:rPr>
                <w:rFonts w:hint="eastAsia" w:ascii="仿宋" w:hAnsi="仿宋" w:eastAsia="仿宋" w:cs="仿宋"/>
                <w:sz w:val="24"/>
                <w:lang w:val="en-US" w:eastAsia="zh-CN"/>
              </w:rPr>
              <w:t>阴阳角接头</w:t>
            </w:r>
          </w:p>
        </w:tc>
        <w:tc>
          <w:tcPr>
            <w:tcW w:w="103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54A804F">
            <w:pPr>
              <w:widowControl/>
              <w:spacing w:line="600" w:lineRule="exact"/>
              <w:jc w:val="center"/>
              <w:textAlignment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300" w:type="dxa"/>
            <w:tcBorders>
              <w:top w:val="single" w:color="auto" w:sz="4" w:space="0"/>
              <w:left w:val="single" w:color="auto" w:sz="4" w:space="0"/>
              <w:bottom w:val="single" w:color="auto" w:sz="4" w:space="0"/>
              <w:right w:val="single" w:color="auto" w:sz="4" w:space="0"/>
            </w:tcBorders>
          </w:tcPr>
          <w:p w14:paraId="11678A07">
            <w:pPr>
              <w:widowControl/>
              <w:spacing w:line="600" w:lineRule="exact"/>
              <w:jc w:val="center"/>
              <w:textAlignment w:val="center"/>
              <w:rPr>
                <w:rFonts w:ascii="仿宋" w:hAnsi="仿宋" w:eastAsia="仿宋" w:cs="仿宋"/>
                <w:kern w:val="0"/>
                <w:sz w:val="24"/>
              </w:rPr>
            </w:pPr>
          </w:p>
        </w:tc>
        <w:tc>
          <w:tcPr>
            <w:tcW w:w="1234" w:type="dxa"/>
            <w:tcBorders>
              <w:top w:val="single" w:color="auto" w:sz="4" w:space="0"/>
              <w:left w:val="single" w:color="auto" w:sz="4" w:space="0"/>
              <w:bottom w:val="single" w:color="auto" w:sz="4" w:space="0"/>
              <w:right w:val="single" w:color="auto" w:sz="4" w:space="0"/>
            </w:tcBorders>
          </w:tcPr>
          <w:p w14:paraId="2B4CF089">
            <w:pPr>
              <w:widowControl/>
              <w:spacing w:line="600" w:lineRule="exact"/>
              <w:jc w:val="center"/>
              <w:textAlignment w:val="center"/>
              <w:rPr>
                <w:rFonts w:ascii="仿宋" w:hAnsi="仿宋" w:eastAsia="仿宋" w:cs="仿宋"/>
                <w:kern w:val="0"/>
                <w:sz w:val="24"/>
              </w:rPr>
            </w:pPr>
          </w:p>
        </w:tc>
      </w:tr>
      <w:tr w14:paraId="642AD3C5">
        <w:tblPrEx>
          <w:tblCellMar>
            <w:top w:w="0" w:type="dxa"/>
            <w:left w:w="0" w:type="dxa"/>
            <w:bottom w:w="0" w:type="dxa"/>
            <w:right w:w="0" w:type="dxa"/>
          </w:tblCellMar>
        </w:tblPrEx>
        <w:trPr>
          <w:trHeight w:val="1385" w:hRule="atLeast"/>
          <w:jc w:val="center"/>
        </w:trPr>
        <w:tc>
          <w:tcPr>
            <w:tcW w:w="9495" w:type="dxa"/>
            <w:gridSpan w:val="6"/>
            <w:tcBorders>
              <w:left w:val="single" w:color="auto" w:sz="4" w:space="0"/>
              <w:bottom w:val="single" w:color="auto" w:sz="4" w:space="0"/>
              <w:right w:val="single" w:color="auto" w:sz="4" w:space="0"/>
            </w:tcBorders>
          </w:tcPr>
          <w:p w14:paraId="71FC2DA0">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（大写：</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rPr>
              <w:t>）；税率</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%，不含税价</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元，税额</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w:t>
            </w:r>
          </w:p>
          <w:p w14:paraId="7603AE40">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14:paraId="08CA0288">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供交货期及交货地点</w:t>
      </w:r>
    </w:p>
    <w:p w14:paraId="337E52FD">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交付期限：</w:t>
      </w:r>
    </w:p>
    <w:p w14:paraId="441FEDC5">
      <w:pPr>
        <w:widowControl/>
        <w:numPr>
          <w:ilvl w:val="255"/>
          <w:numId w:val="0"/>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乙方应于合同签订后7个工作日将设备交货至甲方指定地点。</w:t>
      </w:r>
    </w:p>
    <w:p w14:paraId="1C226A22">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交付地点：具体以甲方指定为准。</w:t>
      </w:r>
    </w:p>
    <w:p w14:paraId="78304E4A">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乙方在发运前应提前将发货批次、数量及到达时间，以传真形式通知甲方，以便甲方提供配合。</w:t>
      </w:r>
    </w:p>
    <w:p w14:paraId="669663CC">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货交甲方并经验收确认前的全部风险和相关费用均由乙方承担。</w:t>
      </w:r>
    </w:p>
    <w:p w14:paraId="19C51291">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运输及包装</w:t>
      </w:r>
    </w:p>
    <w:p w14:paraId="43CCD6DD">
      <w:pPr>
        <w:widowControl/>
        <w:numPr>
          <w:ilvl w:val="3"/>
          <w:numId w:val="0"/>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1．乙方应负责将产品设备运到目的地，提供的设备应具有完善的外包装，适合海运、吊装，能防止撞击、潮气。</w:t>
      </w:r>
    </w:p>
    <w:p w14:paraId="41E3EA69">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2．运输期间，产品设备和部件应包装完好以免损坏或泄漏。包装箱外面应标明净重、内容，装箱及卸载的正常步骤。应该使送至现场、检查损坏程度、卸载和存放的工作尽可能地简单。如产品设备和部件存在质量问题，乙方应按甲方要求的时限完成更换。</w:t>
      </w:r>
    </w:p>
    <w:p w14:paraId="5F60A9AC">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3．乙方应负责产品设备的卸货。乙方应在主要设备到货之前向甲方代表提交完整的卸货步骤及保护措施以供批准。甲方代表的批准并不能免除乙方按照合同规定应负的责任。</w:t>
      </w:r>
    </w:p>
    <w:p w14:paraId="7BB3A4FC">
      <w:pPr>
        <w:widowControl/>
        <w:numPr>
          <w:ilvl w:val="3"/>
          <w:numId w:val="0"/>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w:t>
      </w:r>
      <w:r>
        <w:rPr>
          <w:rFonts w:hint="eastAsia" w:ascii="仿宋" w:hAnsi="仿宋" w:eastAsia="仿宋" w:cs="仿宋"/>
          <w:sz w:val="24"/>
        </w:rPr>
        <w:t>乙方应确保所有运至现场的设备和部件妥善放置、安装。运输、卸货和安装的过程中应保证设备有防雨、防潮等保护措施。</w:t>
      </w:r>
    </w:p>
    <w:p w14:paraId="63425C56">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货物验收标准</w:t>
      </w:r>
    </w:p>
    <w:p w14:paraId="47FB5AFE">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按照</w:t>
      </w:r>
      <w:r>
        <w:rPr>
          <w:rFonts w:hint="eastAsia" w:ascii="仿宋" w:hAnsi="仿宋" w:eastAsia="仿宋" w:cs="仿宋"/>
          <w:kern w:val="0"/>
          <w:sz w:val="24"/>
        </w:rPr>
        <w:t>询价函</w:t>
      </w:r>
      <w:r>
        <w:rPr>
          <w:rFonts w:hint="eastAsia" w:ascii="仿宋" w:hAnsi="仿宋" w:eastAsia="仿宋" w:cs="仿宋"/>
          <w:sz w:val="24"/>
        </w:rPr>
        <w:t>中明确的技术标准和技术要求执行。</w:t>
      </w:r>
    </w:p>
    <w:p w14:paraId="4CA4C81E">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与合同货物有关的最新版本的中华人民共和国国家标准和部颁标准执行。</w:t>
      </w:r>
    </w:p>
    <w:p w14:paraId="021083F1">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乙方的报价文件，经甲方确认后，将作为对货物的验收依据之一。</w:t>
      </w:r>
    </w:p>
    <w:p w14:paraId="4850F300">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乙方在澄清报价文件时做出的承诺，经甲方确认后，将作为对货物的验收依据之一。</w:t>
      </w:r>
    </w:p>
    <w:p w14:paraId="10D81003">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提供的货物必须有检验报告和合格证。</w:t>
      </w:r>
    </w:p>
    <w:p w14:paraId="59A79DBB">
      <w:pPr>
        <w:widowControl/>
        <w:numPr>
          <w:ilvl w:val="255"/>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以上验收标准不一的，以较高标准为准。</w:t>
      </w:r>
    </w:p>
    <w:p w14:paraId="6B8F5AD3">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验收方式</w:t>
      </w:r>
    </w:p>
    <w:p w14:paraId="2BD9ED1A">
      <w:pPr>
        <w:pStyle w:val="13"/>
        <w:topLinePunct/>
        <w:spacing w:line="48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货物到达交货地点后，乙方及时</w:t>
      </w:r>
      <w:r>
        <w:rPr>
          <w:rFonts w:hint="eastAsia" w:ascii="仿宋" w:hAnsi="仿宋" w:eastAsia="仿宋" w:cs="仿宋"/>
          <w:kern w:val="0"/>
          <w:sz w:val="24"/>
          <w:szCs w:val="24"/>
          <w:lang w:val="en-US" w:eastAsia="zh-CN"/>
        </w:rPr>
        <w:t>对货物进行安装及调试，调试完成后</w:t>
      </w:r>
      <w:r>
        <w:rPr>
          <w:rFonts w:hint="eastAsia" w:ascii="仿宋" w:hAnsi="仿宋" w:eastAsia="仿宋" w:cs="仿宋"/>
          <w:kern w:val="0"/>
          <w:sz w:val="24"/>
          <w:szCs w:val="24"/>
        </w:rPr>
        <w:t>通知甲方进行验收。甲方对货物外观、数量、品种、货物有关资料等进行确认，如果甲方发现货物外观、数量、品种、货物有关资料等存在任何问题或瑕疵、残损，甲方有权拒收。乙方需对不符合条件的货物进行及时的换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安装、调试</w:t>
      </w:r>
      <w:r>
        <w:rPr>
          <w:rFonts w:hint="eastAsia" w:ascii="仿宋" w:hAnsi="仿宋" w:eastAsia="仿宋" w:cs="仿宋"/>
          <w:kern w:val="0"/>
          <w:sz w:val="24"/>
          <w:szCs w:val="24"/>
        </w:rPr>
        <w:t>，并再次进行验收，直至通过验收。甲方现场负责人确认后签署货物接收单、验收单。</w:t>
      </w:r>
    </w:p>
    <w:p w14:paraId="268D987D">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合同价款的支付</w:t>
      </w:r>
    </w:p>
    <w:p w14:paraId="57420192">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rPr>
        <w:t>付款节点如下</w:t>
      </w:r>
      <w:r>
        <w:rPr>
          <w:rFonts w:hint="eastAsia" w:ascii="仿宋" w:hAnsi="仿宋" w:eastAsia="仿宋" w:cs="仿宋"/>
          <w:sz w:val="24"/>
          <w:lang w:eastAsia="ja-JP"/>
        </w:rPr>
        <w:t>。</w:t>
      </w:r>
    </w:p>
    <w:p w14:paraId="420AB19F">
      <w:pPr>
        <w:keepLines/>
        <w:widowControl/>
        <w:adjustRightInd w:val="0"/>
        <w:snapToGrid w:val="0"/>
        <w:spacing w:line="480" w:lineRule="exact"/>
        <w:ind w:left="210" w:leftChars="100" w:firstLine="480" w:firstLineChars="200"/>
        <w:jc w:val="left"/>
        <w:rPr>
          <w:rFonts w:ascii="仿宋" w:hAnsi="仿宋" w:eastAsia="仿宋" w:cs="仿宋"/>
          <w:kern w:val="0"/>
          <w:sz w:val="24"/>
        </w:rPr>
      </w:pPr>
      <w:r>
        <w:rPr>
          <w:rFonts w:hint="eastAsia" w:ascii="仿宋" w:hAnsi="仿宋" w:eastAsia="仿宋" w:cs="仿宋"/>
          <w:kern w:val="0"/>
          <w:sz w:val="24"/>
        </w:rPr>
        <w:t>签订合同后，乙方按照甲方需求发货，</w:t>
      </w:r>
      <w:r>
        <w:rPr>
          <w:rFonts w:hint="eastAsia" w:ascii="仿宋" w:hAnsi="仿宋" w:eastAsia="仿宋" w:cs="仿宋"/>
          <w:kern w:val="0"/>
          <w:sz w:val="24"/>
          <w:lang w:val="en-US" w:eastAsia="zh-CN"/>
        </w:rPr>
        <w:t>完成</w:t>
      </w:r>
      <w:r>
        <w:rPr>
          <w:rFonts w:hint="eastAsia" w:ascii="仿宋" w:hAnsi="仿宋" w:eastAsia="仿宋" w:cs="仿宋"/>
          <w:kern w:val="0"/>
          <w:sz w:val="24"/>
        </w:rPr>
        <w:t>到货验收</w:t>
      </w:r>
      <w:r>
        <w:rPr>
          <w:rFonts w:hint="eastAsia" w:ascii="仿宋" w:hAnsi="仿宋" w:eastAsia="仿宋" w:cs="仿宋"/>
          <w:kern w:val="0"/>
          <w:sz w:val="24"/>
          <w:lang w:bidi="ar"/>
        </w:rPr>
        <w:t>且提供符合要求的付款申请材料后</w:t>
      </w:r>
      <w:r>
        <w:rPr>
          <w:rFonts w:hint="eastAsia" w:ascii="仿宋" w:hAnsi="仿宋" w:eastAsia="仿宋" w:cs="仿宋"/>
          <w:kern w:val="0"/>
          <w:sz w:val="24"/>
        </w:rPr>
        <w:t>，甲方于30个日历日内向乙方支付至合同价款的95%，剩余5%货款作为质保。</w:t>
      </w:r>
    </w:p>
    <w:p w14:paraId="01BBD9A2">
      <w:pPr>
        <w:keepLines/>
        <w:widowControl/>
        <w:adjustRightInd w:val="0"/>
        <w:snapToGrid w:val="0"/>
        <w:spacing w:line="480" w:lineRule="exact"/>
        <w:ind w:left="210" w:leftChars="100"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质保期满后</w:t>
      </w:r>
      <w:r>
        <w:rPr>
          <w:rFonts w:hint="eastAsia" w:ascii="仿宋" w:hAnsi="仿宋" w:eastAsia="仿宋" w:cs="仿宋"/>
          <w:kern w:val="0"/>
          <w:sz w:val="24"/>
        </w:rPr>
        <w:t>三</w:t>
      </w:r>
      <w:r>
        <w:rPr>
          <w:rFonts w:hint="eastAsia" w:ascii="仿宋" w:hAnsi="仿宋" w:eastAsia="仿宋" w:cs="仿宋"/>
          <w:kern w:val="0"/>
          <w:sz w:val="24"/>
          <w:lang w:eastAsia="ja-JP"/>
        </w:rPr>
        <w:t>年内乙方仍未向甲方申请退还质保金的，已付款视为结算款，即乙方自愿放弃质保金。甲方付款</w:t>
      </w:r>
      <w:r>
        <w:rPr>
          <w:rFonts w:hint="eastAsia" w:ascii="仿宋" w:hAnsi="仿宋" w:eastAsia="仿宋" w:cs="仿宋"/>
          <w:kern w:val="0"/>
          <w:sz w:val="24"/>
        </w:rPr>
        <w:t>（95%）</w:t>
      </w:r>
      <w:r>
        <w:rPr>
          <w:rFonts w:hint="eastAsia" w:ascii="仿宋" w:hAnsi="仿宋" w:eastAsia="仿宋" w:cs="仿宋"/>
          <w:kern w:val="0"/>
          <w:sz w:val="24"/>
          <w:lang w:eastAsia="ja-JP"/>
        </w:rPr>
        <w:t>前乙方应提供</w:t>
      </w:r>
      <w:r>
        <w:rPr>
          <w:rFonts w:hint="eastAsia" w:ascii="仿宋" w:hAnsi="仿宋" w:eastAsia="仿宋" w:cs="仿宋"/>
          <w:kern w:val="0"/>
          <w:sz w:val="24"/>
        </w:rPr>
        <w:t>全</w:t>
      </w:r>
      <w:r>
        <w:rPr>
          <w:rFonts w:hint="eastAsia" w:ascii="仿宋" w:hAnsi="仿宋" w:eastAsia="仿宋" w:cs="仿宋"/>
          <w:kern w:val="0"/>
          <w:sz w:val="24"/>
          <w:lang w:eastAsia="ja-JP"/>
        </w:rPr>
        <w:t>额的增值税专用发票，否则甲方有权延迟付款并不承担违约责任。</w:t>
      </w:r>
    </w:p>
    <w:p w14:paraId="499740EE">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本合同执行固定不变价格，在合同履行期间乙方不得以任何理由予以变更。</w:t>
      </w:r>
    </w:p>
    <w:p w14:paraId="4F61F88C">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甲方将采用下列付款方式中的一种进行付款：</w:t>
      </w:r>
    </w:p>
    <w:p w14:paraId="4BFE011C">
      <w:pPr>
        <w:widowControl/>
        <w:numPr>
          <w:ilvl w:val="255"/>
          <w:numId w:val="0"/>
        </w:numPr>
        <w:adjustRightInd w:val="0"/>
        <w:snapToGrid w:val="0"/>
        <w:spacing w:line="480" w:lineRule="exact"/>
        <w:ind w:firstLine="420" w:firstLineChars="200"/>
        <w:jc w:val="left"/>
        <w:rPr>
          <w:rFonts w:ascii="仿宋" w:hAnsi="仿宋" w:eastAsia="仿宋" w:cs="仿宋"/>
        </w:rPr>
      </w:pPr>
      <w:r>
        <w:rPr>
          <w:rFonts w:hint="eastAsia" w:ascii="仿宋" w:hAnsi="仿宋" w:eastAsia="仿宋" w:cs="仿宋"/>
        </w:rPr>
        <w:t>A.转账付款（支票、网银、电汇）；B.银行汇票。</w:t>
      </w:r>
    </w:p>
    <w:p w14:paraId="21889594">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乙方承诺并确认：</w:t>
      </w:r>
    </w:p>
    <w:p w14:paraId="6E812E1A">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（1）本合同签署的乙方公司名称与发票开具单位及收款单位一致，乙方不得以任何理由在合同执行过程中要求调整发票开具单位或收款单位。</w:t>
      </w:r>
    </w:p>
    <w:p w14:paraId="41733207">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（2）乙方提供增值税专用发票必须与甲方办理发票交接手续，无甲方经办人员签认，视为乙方未提供增值税专用发票，如发生增值税专用发票丢失，由乙方承担责任。</w:t>
      </w:r>
    </w:p>
    <w:p w14:paraId="0CF24A03">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（3）如因乙方开具的发票不合法或不能认证抵扣进项税额的，乙方同意承担由此给甲方造成的一切损失（包括但不限于税款、滞纳金、行政罚款及相关损失等）。</w:t>
      </w:r>
    </w:p>
    <w:p w14:paraId="5E1BB1A7">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乙方账户必须是合同约定的在主管国税机关备案的账户，若账户变更应及时通知甲方，并签订合同变更或补充合同；如乙方随意改变账户，甲方将拒付货款，由此引起的延期付款责任及相关的损失由乙方承担。</w:t>
      </w:r>
    </w:p>
    <w:p w14:paraId="3D131830">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5）如果甲方丢失增值税专用发票联和抵扣联，如已认证相符，乙方应向甲方提供专用发票记账联复印件及主管税务机关出具的《丢失增值税专用发票已报税证明单》；如未经认证，乙方须提供相应专用发票记账联复印件供甲方认证。</w:t>
      </w:r>
    </w:p>
    <w:p w14:paraId="04885F6F">
      <w:pPr>
        <w:spacing w:line="480" w:lineRule="exact"/>
        <w:ind w:firstLine="566" w:firstLineChars="236"/>
        <w:rPr>
          <w:rFonts w:ascii="仿宋" w:hAnsi="仿宋" w:eastAsia="仿宋" w:cs="仿宋"/>
          <w:kern w:val="0"/>
          <w:sz w:val="24"/>
          <w:lang w:eastAsia="ja-JP"/>
        </w:rPr>
      </w:pPr>
      <w:r>
        <w:rPr>
          <w:rFonts w:hint="eastAsia" w:ascii="仿宋" w:hAnsi="仿宋" w:eastAsia="仿宋" w:cs="仿宋"/>
          <w:kern w:val="0"/>
          <w:sz w:val="24"/>
          <w:lang w:eastAsia="ja-JP"/>
        </w:rPr>
        <w:t>（6）增值税专用发票必须保持票面干净、整齐,发票的正反两面均不能留下任何脏、乱及签字的痕迹。</w:t>
      </w:r>
    </w:p>
    <w:p w14:paraId="36F5166A">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乙方指定的收款账户如下并保证其真实有效：</w:t>
      </w:r>
    </w:p>
    <w:p w14:paraId="3A2EFC4F">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乙方指定收款账户名称：</w:t>
      </w:r>
    </w:p>
    <w:p w14:paraId="354EB9D3">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乙方指定收款账户的开户行名称：</w:t>
      </w:r>
    </w:p>
    <w:p w14:paraId="1A3DD5A5">
      <w:pPr>
        <w:widowControl/>
        <w:tabs>
          <w:tab w:val="left" w:pos="921"/>
        </w:tabs>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乙方指定收款账户的开户行账号：</w:t>
      </w:r>
    </w:p>
    <w:p w14:paraId="74AFE785">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质保条款</w:t>
      </w:r>
    </w:p>
    <w:p w14:paraId="37A81A99">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本项目设备质保期为</w:t>
      </w:r>
      <w:r>
        <w:rPr>
          <w:rFonts w:hint="eastAsia" w:ascii="仿宋" w:hAnsi="仿宋" w:eastAsia="仿宋" w:cs="仿宋"/>
          <w:kern w:val="0"/>
          <w:sz w:val="24"/>
        </w:rPr>
        <w:t>2</w:t>
      </w:r>
      <w:r>
        <w:rPr>
          <w:rFonts w:hint="eastAsia" w:ascii="仿宋" w:hAnsi="仿宋" w:eastAsia="仿宋" w:cs="仿宋"/>
          <w:kern w:val="0"/>
          <w:sz w:val="24"/>
          <w:lang w:eastAsia="ja-JP"/>
        </w:rPr>
        <w:t>年免费保修（乙方承诺优于此的以乙方承诺为准），保修期自验收合格甲方代表签字之日起计算。</w:t>
      </w:r>
    </w:p>
    <w:p w14:paraId="1B06B422">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在质保期内，乙方须负责货物的保修工作，非因操作不当造成的故障由乙方负责包修、包换</w:t>
      </w:r>
      <w:r>
        <w:rPr>
          <w:rFonts w:hint="eastAsia" w:ascii="仿宋" w:hAnsi="仿宋" w:eastAsia="仿宋" w:cs="仿宋"/>
          <w:kern w:val="0"/>
          <w:sz w:val="24"/>
        </w:rPr>
        <w:t>（不可抗力和人为因素除外）</w:t>
      </w:r>
      <w:r>
        <w:rPr>
          <w:rFonts w:hint="eastAsia" w:ascii="仿宋" w:hAnsi="仿宋" w:eastAsia="仿宋" w:cs="仿宋"/>
          <w:kern w:val="0"/>
          <w:sz w:val="24"/>
          <w:lang w:eastAsia="ja-JP"/>
        </w:rPr>
        <w:t>，产生的所有费用由乙方负责；若乙方对质量问题存在异议，也应当先向甲方履行质保服务义务，经双方认可的检定中心检验后，若认定货物不存在质量问题，则甲方应当向乙方支付成本费。</w:t>
      </w:r>
    </w:p>
    <w:p w14:paraId="0113EF83">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乙方维修所更换的零部件必须是原厂的产品。</w:t>
      </w:r>
    </w:p>
    <w:p w14:paraId="0A1F814C">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在质保期内设备运行发生故障，乙方应在接到甲方故障通知后委派专业技术人员在</w:t>
      </w:r>
      <w:r>
        <w:rPr>
          <w:rFonts w:hint="eastAsia" w:ascii="仿宋" w:hAnsi="仿宋" w:eastAsia="仿宋" w:cs="仿宋"/>
          <w:kern w:val="0"/>
          <w:sz w:val="24"/>
        </w:rPr>
        <w:t>24</w:t>
      </w:r>
      <w:r>
        <w:rPr>
          <w:rFonts w:hint="eastAsia" w:ascii="仿宋" w:hAnsi="仿宋" w:eastAsia="仿宋" w:cs="仿宋"/>
          <w:kern w:val="0"/>
          <w:sz w:val="24"/>
          <w:lang w:eastAsia="ja-JP"/>
        </w:rPr>
        <w:t>小时内到现场免费提供咨询、维修和更换零部件等服务，并及时填写维修报告（包括故障原因、处理情况及甲方意见等）报甲方备案，若48小时内无法排除故障，则应先提供同档次备用机供甲方使用，发生一切费用由乙方承担；若乙方未按前述要求提供质保服务，则甲方有权另请他人维修，维修费用及全部损失由乙方承担，甲方有权从质保金中直接扣除。</w:t>
      </w:r>
    </w:p>
    <w:p w14:paraId="04756DAC">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若货物在1年内出现3次及以上产品质量问题的，甲方有权要求乙方支付合同总金额5%的违约金且乙方需无条件的更换质量问题的产品，所产生的费用和责任由乙方承担。</w:t>
      </w:r>
    </w:p>
    <w:p w14:paraId="37F7B912">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违约责任</w:t>
      </w:r>
    </w:p>
    <w:p w14:paraId="58DF4AE3">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未得到甲方许可，乙方擅自将本合同货物或服务分包、转包给其他单位的，甲方有权单方解除本合同，乙方还应当向甲方支付合同总金额10%作为违约金，如不足以弥补甲方损失的还应赔偿甲方损失。</w:t>
      </w:r>
    </w:p>
    <w:p w14:paraId="68F6BAB5">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甲方未按合同规定的时间和要求承付货款，乙方有权追究甲方违约责任。但因第三方单位延迟支付款项导致甲方向乙方延迟支付的，甲方无须承担违约责任。</w:t>
      </w:r>
    </w:p>
    <w:p w14:paraId="3BCED3F3">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甲方无正当理由不接收或不及时验收的，乙方有权按国家有关法规追究甲方违约责任。</w:t>
      </w:r>
    </w:p>
    <w:p w14:paraId="5E86BACB">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乙方延迟交付货物或未按合同期限完成设备安装并验收合格的，每延迟一日按合同总金额的2‰向甲方支付违约金。非因甲方原因和不可抗力原因乙方交付货物并通过验收的日期晚于</w:t>
      </w:r>
      <w:r>
        <w:rPr>
          <w:rFonts w:hint="eastAsia" w:ascii="仿宋" w:hAnsi="仿宋" w:eastAsia="仿宋" w:cs="仿宋"/>
          <w:kern w:val="0"/>
          <w:sz w:val="24"/>
        </w:rPr>
        <w:t>合同约定时限</w:t>
      </w:r>
      <w:r>
        <w:rPr>
          <w:rFonts w:hint="eastAsia" w:ascii="仿宋" w:hAnsi="仿宋" w:eastAsia="仿宋" w:cs="仿宋"/>
          <w:kern w:val="0"/>
          <w:sz w:val="24"/>
          <w:lang w:eastAsia="ja-JP"/>
        </w:rPr>
        <w:t>的，甲方有权解除合同，并要求乙方支付合同总金额10%的违约金，如不足以弥补甲方损失的还应赔偿甲方损失。</w:t>
      </w:r>
    </w:p>
    <w:p w14:paraId="6C90CB06">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货物存在质量问题或存在其它不符合合同要求的情形的，甲方有权选择换货或解除合同。</w:t>
      </w:r>
    </w:p>
    <w:p w14:paraId="67F96972">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甲方选择换货的，乙方应当给予更换，并支付合同总金额5%的违约金。由此造成迟延交付的，按照本合同规定继续承担违约责任。更换的产品还不能检验合格的，甲方有权要求解除合同，乙方应再支付合同总金额5%的违约金，并承担检验测试费、运输费、人工费等由此产生的一切费用以及给甲方造成的全部经济损失。</w:t>
      </w:r>
    </w:p>
    <w:p w14:paraId="16F90F2B">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(2)甲方选择解除合同的，乙方应支付合同总金额10%的违约金，并承担检验测试费、运输费、人工费等由此产生的一切费用以及给甲方造成的全部经济损失。</w:t>
      </w:r>
    </w:p>
    <w:p w14:paraId="37DC8A51">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在质保期内未及时履行质保责任的，甲方有权自行委托他人进行维修等服务，费用从质保金中扣除并按每次2000元的标准扣取违约金。同时，质保期内发生质量问题的货物，其质保期从更换、修复且重新验收合格之日起重新计算。</w:t>
      </w:r>
    </w:p>
    <w:p w14:paraId="1C61B070">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签订本合同之后，乙方在合同履行期间无正当理由单方解除合同的，或明确表示不履约或以其行为表明不再履行合同的，视为乙方严重违约，甲方有权单方终止合同，同时乙方应按本合同总价的10%向甲方支付违约金，并赔偿因此给甲方造成的损失。</w:t>
      </w:r>
    </w:p>
    <w:p w14:paraId="7A17DAF0">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因乙方原因发生质量事故、重大或特大安全事故、死亡事故等，造成的经济损失、财产人员损伤及行政责任、刑事责任、民事责任由乙方根据有关法律法规规章规定全权承担，甲方报建设行政主管部门处理。同时，甲方有权单方终止合同并没收履约保证金，并要求乙方按本合同总价款的20%向甲方支付违约金，给甲方造成损失的，乙方应赔偿甲方实际损失。</w:t>
      </w:r>
    </w:p>
    <w:p w14:paraId="21FE90F8">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由于乙方原因导致发票无法抵扣税率的，甲方有权按发票金额的相应税率要求乙方给予经济补偿。经济补偿不足以弥补甲方损失的，乙方应赔偿甲方实际损失。</w:t>
      </w:r>
    </w:p>
    <w:p w14:paraId="5A09223D">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违约金的设定已充分考虑合同交易目的、双方预期利益等综合因素，双方对违约责任的合理性有充分的认知和理解，同意在违约时按合同约定承担相应后果，并在发生纠纷诉请法院/仲裁机构解决争议时，放弃请求法院/仲裁机构调减违约金金额</w:t>
      </w:r>
    </w:p>
    <w:p w14:paraId="2DEAFA1D">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上述违约金、赔偿金等费用甲方有权从未付货款中直接扣除。</w:t>
      </w:r>
    </w:p>
    <w:p w14:paraId="37FEE065">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其它违约情况按《中华人民共和国民法典》有关条款规定处理。</w:t>
      </w:r>
    </w:p>
    <w:p w14:paraId="02EBC50B">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通知送达</w:t>
      </w:r>
    </w:p>
    <w:p w14:paraId="62526BD0">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合同各方就履行合同及发行纠纷时，涉及各类通知、协议等文件以及法院、仲裁等司法机关各阶段审理或强制执行涉及的法律文书的送达地址如下：</w:t>
      </w:r>
    </w:p>
    <w:p w14:paraId="6E6BE3AE">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（1）发给甲方的通知地址：</w:t>
      </w:r>
    </w:p>
    <w:p w14:paraId="152ECE3C">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收件人：</w:t>
      </w:r>
      <w:r>
        <w:rPr>
          <w:rFonts w:hint="eastAsia" w:ascii="仿宋" w:hAnsi="仿宋" w:eastAsia="仿宋" w:cs="仿宋"/>
          <w:kern w:val="0"/>
          <w:sz w:val="24"/>
        </w:rPr>
        <w:t>姜工</w:t>
      </w:r>
    </w:p>
    <w:p w14:paraId="3D7CBBCC">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收件地址：福州市长乐区滨海新城CBD区域新投商务中心15楼滨海水务</w:t>
      </w:r>
    </w:p>
    <w:p w14:paraId="3A9D47EF">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联系电话：</w:t>
      </w:r>
      <w:r>
        <w:rPr>
          <w:rFonts w:hint="eastAsia" w:ascii="仿宋" w:hAnsi="仿宋" w:eastAsia="仿宋" w:cs="仿宋"/>
          <w:kern w:val="0"/>
          <w:sz w:val="24"/>
        </w:rPr>
        <w:t>0591-28559620</w:t>
      </w:r>
    </w:p>
    <w:p w14:paraId="42B19F68">
      <w:pPr>
        <w:widowControl/>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lang w:eastAsia="ja-JP"/>
        </w:rPr>
        <w:t>（2）乙方确认其有效的送达地址：</w:t>
      </w:r>
      <w:r>
        <w:rPr>
          <w:rFonts w:hint="eastAsia" w:ascii="仿宋" w:hAnsi="仿宋" w:eastAsia="仿宋" w:cs="仿宋"/>
          <w:kern w:val="0"/>
          <w:sz w:val="24"/>
          <w:u w:val="single"/>
          <w:lang w:eastAsia="ja-JP"/>
        </w:rPr>
        <w:t>XXX</w:t>
      </w:r>
    </w:p>
    <w:p w14:paraId="6A4111CF">
      <w:pPr>
        <w:widowControl/>
        <w:adjustRightInd w:val="0"/>
        <w:snapToGrid w:val="0"/>
        <w:spacing w:line="480" w:lineRule="exact"/>
        <w:ind w:firstLine="480" w:firstLineChars="200"/>
        <w:jc w:val="left"/>
        <w:rPr>
          <w:rFonts w:hint="eastAsia" w:ascii="仿宋" w:hAnsi="仿宋" w:eastAsia="仿宋" w:cs="仿宋"/>
          <w:kern w:val="0"/>
          <w:sz w:val="24"/>
          <w:u w:val="single"/>
          <w:lang w:eastAsia="zh-CN"/>
        </w:rPr>
      </w:pPr>
      <w:r>
        <w:rPr>
          <w:rFonts w:hint="eastAsia" w:ascii="仿宋" w:hAnsi="仿宋" w:eastAsia="仿宋" w:cs="仿宋"/>
          <w:kern w:val="0"/>
          <w:sz w:val="24"/>
          <w:u w:val="single"/>
          <w:lang w:eastAsia="ja-JP"/>
        </w:rPr>
        <w:t>联络人：XXX电话：XXX</w:t>
      </w:r>
    </w:p>
    <w:p w14:paraId="65CBB930">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合同任意一方如需变更上述送达地址及联络方式的应当提前以书面方式通知对方。</w:t>
      </w:r>
    </w:p>
    <w:p w14:paraId="03593BAD">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合同一方当事人或法院、仲裁等机关，发送的各类文件、文书，均可按上述送达地址，直接邮寄。</w:t>
      </w:r>
    </w:p>
    <w:p w14:paraId="00CE3164">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当事人提供或者确认的送达地址不准确、送达地址变更后未及时依程序告知对方和拒绝签收等原因，导致合同一方当事人或法院、仲裁等机关发送的各类文件、文书，未能被当事人实际接收的，以邮寄文书投递之日起三日或者相关邮寄文件退回之日视为送达之日（以先到日期为准）。</w:t>
      </w:r>
    </w:p>
    <w:p w14:paraId="1D72FCCC">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如果甲方提出索赔通知后15天内乙方未能予以答复，该索赔应视为已被乙方接受。</w:t>
      </w:r>
    </w:p>
    <w:p w14:paraId="76CBC71E">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合同争议解决方式</w:t>
      </w:r>
    </w:p>
    <w:p w14:paraId="32B0C426">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若因执行本合同所发生的争议、由双方通过友好协商解决。如果不能协商一致，任何一方有权将争议提交福州仲裁委员会仲裁。</w:t>
      </w:r>
    </w:p>
    <w:p w14:paraId="08FB6DFD">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其它条款</w:t>
      </w:r>
    </w:p>
    <w:p w14:paraId="032AF43B">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受不可抗力事件(系指严重火灾、台风、地震、洪水等不能预见事件)影响的合同一方对于不可抗力事件导致的任何合同义务的延迟履行或不能履行不承担责任，但应尽快以传真的方式将不可抗力事件结束消除情况通知另一方。</w:t>
      </w:r>
    </w:p>
    <w:p w14:paraId="097EC9CB">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合同有效期限到期后，合同项下任何尚未了结的债权和债务不受合同到期的影响，债务人仍应向债权人履行义务。</w:t>
      </w:r>
    </w:p>
    <w:p w14:paraId="2994BF5A">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本合同一式</w:t>
      </w:r>
      <w:r>
        <w:rPr>
          <w:rFonts w:hint="eastAsia" w:ascii="仿宋" w:hAnsi="仿宋" w:eastAsia="仿宋" w:cs="仿宋"/>
          <w:kern w:val="0"/>
          <w:sz w:val="24"/>
        </w:rPr>
        <w:t>陆</w:t>
      </w:r>
      <w:r>
        <w:rPr>
          <w:rFonts w:hint="eastAsia" w:ascii="仿宋" w:hAnsi="仿宋" w:eastAsia="仿宋" w:cs="仿宋"/>
          <w:kern w:val="0"/>
          <w:sz w:val="24"/>
          <w:lang w:eastAsia="ja-JP"/>
        </w:rPr>
        <w:t>份，经双方签字盖章后即时生效。</w:t>
      </w:r>
      <w:r>
        <w:rPr>
          <w:rFonts w:hint="eastAsia" w:ascii="仿宋" w:hAnsi="仿宋" w:eastAsia="仿宋" w:cs="仿宋"/>
          <w:kern w:val="0"/>
          <w:sz w:val="24"/>
        </w:rPr>
        <w:t>甲乙双</w:t>
      </w:r>
      <w:r>
        <w:rPr>
          <w:rFonts w:hint="eastAsia" w:ascii="仿宋" w:hAnsi="仿宋" w:eastAsia="仿宋" w:cs="仿宋"/>
          <w:kern w:val="0"/>
          <w:sz w:val="24"/>
          <w:lang w:eastAsia="ja-JP"/>
        </w:rPr>
        <w:t>方</w:t>
      </w:r>
      <w:r>
        <w:rPr>
          <w:rFonts w:hint="eastAsia" w:ascii="仿宋" w:hAnsi="仿宋" w:eastAsia="仿宋" w:cs="仿宋"/>
          <w:kern w:val="0"/>
          <w:sz w:val="24"/>
        </w:rPr>
        <w:t>各</w:t>
      </w:r>
      <w:r>
        <w:rPr>
          <w:rFonts w:hint="eastAsia" w:ascii="仿宋" w:hAnsi="仿宋" w:eastAsia="仿宋" w:cs="仿宋"/>
          <w:kern w:val="0"/>
          <w:sz w:val="24"/>
          <w:lang w:eastAsia="ja-JP"/>
        </w:rPr>
        <w:t>执</w:t>
      </w:r>
      <w:r>
        <w:rPr>
          <w:rFonts w:hint="eastAsia" w:ascii="仿宋" w:hAnsi="仿宋" w:eastAsia="仿宋" w:cs="仿宋"/>
          <w:kern w:val="0"/>
          <w:sz w:val="24"/>
        </w:rPr>
        <w:t>叁</w:t>
      </w:r>
      <w:r>
        <w:rPr>
          <w:rFonts w:hint="eastAsia" w:ascii="仿宋" w:hAnsi="仿宋" w:eastAsia="仿宋" w:cs="仿宋"/>
          <w:kern w:val="0"/>
          <w:sz w:val="24"/>
          <w:lang w:eastAsia="ja-JP"/>
        </w:rPr>
        <w:t>份，具有同等法律效力。</w:t>
      </w:r>
    </w:p>
    <w:p w14:paraId="115AFAA5">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（以下无正文）</w:t>
      </w:r>
    </w:p>
    <w:p w14:paraId="06DB68B6">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甲方:福州市滨海水务发展有限公司</w:t>
      </w:r>
    </w:p>
    <w:p w14:paraId="4390C1CF">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14:paraId="1CF59DB8">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单位税号：</w:t>
      </w:r>
    </w:p>
    <w:p w14:paraId="4F686C7B">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开户银行：</w:t>
      </w:r>
    </w:p>
    <w:p w14:paraId="552C7E7D">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帐号：</w:t>
      </w:r>
    </w:p>
    <w:p w14:paraId="5F2FB675">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w:t>
      </w:r>
      <w:r>
        <w:rPr>
          <w:rFonts w:hint="eastAsia" w:ascii="仿宋" w:hAnsi="仿宋" w:eastAsia="仿宋" w:cs="仿宋"/>
          <w:kern w:val="0"/>
          <w:sz w:val="24"/>
          <w:lang w:val="en-US" w:eastAsia="zh-CN"/>
        </w:rPr>
        <w:t>2025</w:t>
      </w:r>
      <w:r>
        <w:rPr>
          <w:rFonts w:hint="eastAsia" w:ascii="仿宋" w:hAnsi="仿宋" w:eastAsia="仿宋" w:cs="仿宋"/>
          <w:kern w:val="0"/>
          <w:sz w:val="24"/>
          <w:lang w:eastAsia="ja-JP"/>
        </w:rPr>
        <w:t>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日</w:t>
      </w:r>
    </w:p>
    <w:p w14:paraId="42E388F0">
      <w:pPr>
        <w:widowControl/>
        <w:adjustRightInd w:val="0"/>
        <w:snapToGrid w:val="0"/>
        <w:spacing w:line="480" w:lineRule="exact"/>
        <w:ind w:firstLine="480" w:firstLineChars="200"/>
        <w:jc w:val="left"/>
        <w:rPr>
          <w:rFonts w:ascii="仿宋" w:hAnsi="仿宋" w:eastAsia="仿宋" w:cs="仿宋"/>
          <w:kern w:val="0"/>
          <w:sz w:val="24"/>
          <w:lang w:eastAsia="ja-JP"/>
        </w:rPr>
      </w:pPr>
    </w:p>
    <w:p w14:paraId="63CD3C74">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w:t>
      </w:r>
    </w:p>
    <w:p w14:paraId="6E81D5FB">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14:paraId="3ECD944F">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单位税号：</w:t>
      </w:r>
    </w:p>
    <w:p w14:paraId="28BD9668">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注册地址：</w:t>
      </w:r>
    </w:p>
    <w:p w14:paraId="72C0BFEA">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开户银行：</w:t>
      </w:r>
    </w:p>
    <w:p w14:paraId="507A8A93">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帐号：</w:t>
      </w:r>
    </w:p>
    <w:p w14:paraId="042388DC">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w:t>
      </w:r>
      <w:r>
        <w:rPr>
          <w:rFonts w:hint="eastAsia" w:ascii="仿宋" w:hAnsi="仿宋" w:eastAsia="仿宋" w:cs="仿宋"/>
          <w:kern w:val="0"/>
          <w:sz w:val="24"/>
          <w:lang w:val="en-US" w:eastAsia="zh-CN"/>
        </w:rPr>
        <w:t>2025</w:t>
      </w:r>
      <w:r>
        <w:rPr>
          <w:rFonts w:hint="eastAsia" w:ascii="仿宋" w:hAnsi="仿宋" w:eastAsia="仿宋" w:cs="仿宋"/>
          <w:kern w:val="0"/>
          <w:sz w:val="24"/>
          <w:lang w:eastAsia="ja-JP"/>
        </w:rPr>
        <w:t>年</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eastAsia="ja-JP"/>
        </w:rPr>
        <w:t>日</w:t>
      </w:r>
    </w:p>
    <w:p w14:paraId="27A64C0A">
      <w:pPr>
        <w:jc w:val="left"/>
        <w:rPr>
          <w:rFonts w:ascii="仿宋" w:hAnsi="仿宋" w:eastAsia="仿宋" w:cs="仿宋"/>
          <w:kern w:val="0"/>
          <w:sz w:val="32"/>
          <w:szCs w:val="32"/>
        </w:rPr>
      </w:pPr>
      <w:r>
        <w:rPr>
          <w:rFonts w:hint="eastAsia" w:ascii="仿宋" w:hAnsi="仿宋" w:eastAsia="仿宋" w:cs="仿宋"/>
          <w:kern w:val="0"/>
          <w:sz w:val="32"/>
          <w:szCs w:val="32"/>
        </w:rPr>
        <w:br w:type="page"/>
      </w:r>
    </w:p>
    <w:p w14:paraId="7C81C12F">
      <w:pPr>
        <w:spacing w:line="500" w:lineRule="exact"/>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附件2：授权委托书</w:t>
      </w:r>
    </w:p>
    <w:p w14:paraId="114B18E9">
      <w:pPr>
        <w:spacing w:line="500" w:lineRule="exact"/>
        <w:jc w:val="left"/>
        <w:rPr>
          <w:rFonts w:ascii="仿宋" w:hAnsi="仿宋" w:eastAsia="仿宋" w:cs="仿宋"/>
          <w:kern w:val="0"/>
          <w:sz w:val="32"/>
          <w:szCs w:val="32"/>
        </w:rPr>
      </w:pPr>
    </w:p>
    <w:p w14:paraId="74021B39">
      <w:pPr>
        <w:spacing w:line="500" w:lineRule="exact"/>
        <w:jc w:val="center"/>
        <w:rPr>
          <w:rFonts w:ascii="黑体" w:hAnsi="黑体" w:eastAsia="黑体" w:cs="黑体"/>
          <w:b/>
          <w:bCs/>
          <w:kern w:val="0"/>
          <w:sz w:val="44"/>
          <w:szCs w:val="44"/>
        </w:rPr>
      </w:pPr>
      <w:r>
        <w:rPr>
          <w:rFonts w:hint="eastAsia" w:ascii="黑体" w:hAnsi="黑体" w:eastAsia="黑体" w:cs="黑体"/>
          <w:b/>
          <w:bCs/>
          <w:kern w:val="0"/>
          <w:sz w:val="44"/>
          <w:szCs w:val="44"/>
        </w:rPr>
        <w:t>授权委托书</w:t>
      </w:r>
    </w:p>
    <w:p w14:paraId="53E8C0BE">
      <w:pPr>
        <w:spacing w:line="360" w:lineRule="auto"/>
        <w:jc w:val="center"/>
        <w:rPr>
          <w:rFonts w:ascii="仿宋" w:hAnsi="仿宋" w:eastAsia="仿宋" w:cs="仿宋"/>
          <w:b/>
          <w:bCs/>
          <w:kern w:val="0"/>
          <w:sz w:val="44"/>
          <w:szCs w:val="44"/>
        </w:rPr>
      </w:pPr>
    </w:p>
    <w:p w14:paraId="4010F137">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本人</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（身份证号码）系</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（报价人名称）的法定代表人，现委托</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（身份证号码）为我方代理人，以我方名义签署、澄清、说明、补正、递交、撤回、修改</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u w:val="single"/>
        </w:rPr>
        <w:t>动力站和便携水泵的水带采购项目</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的报价文件、签订合同和处理有关事宜，其法律后果由我方承担。</w:t>
      </w:r>
    </w:p>
    <w:p w14:paraId="7E27E71C">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代理人无转委托权。</w:t>
      </w:r>
    </w:p>
    <w:p w14:paraId="1BC3BCC6">
      <w:pPr>
        <w:spacing w:line="360" w:lineRule="auto"/>
        <w:ind w:firstLine="640" w:firstLineChars="200"/>
        <w:jc w:val="left"/>
        <w:rPr>
          <w:rFonts w:ascii="仿宋" w:hAnsi="仿宋" w:eastAsia="仿宋" w:cs="仿宋"/>
          <w:kern w:val="0"/>
          <w:sz w:val="32"/>
          <w:szCs w:val="32"/>
        </w:rPr>
      </w:pPr>
    </w:p>
    <w:p w14:paraId="67D48B56">
      <w:pPr>
        <w:spacing w:line="360" w:lineRule="auto"/>
        <w:ind w:firstLine="640" w:firstLineChars="200"/>
        <w:jc w:val="left"/>
        <w:rPr>
          <w:rFonts w:ascii="仿宋" w:hAnsi="仿宋" w:eastAsia="仿宋" w:cs="仿宋"/>
          <w:kern w:val="0"/>
          <w:sz w:val="32"/>
          <w:szCs w:val="32"/>
        </w:rPr>
      </w:pPr>
    </w:p>
    <w:p w14:paraId="0CB0D12F">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代理人姓名：</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性别：</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年龄：</w:t>
      </w:r>
    </w:p>
    <w:p w14:paraId="18805C72">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身份证号码：</w:t>
      </w:r>
    </w:p>
    <w:p w14:paraId="64E003F3">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授权期限：</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日至</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14:paraId="67C7A40D">
      <w:pPr>
        <w:spacing w:line="360" w:lineRule="auto"/>
        <w:ind w:left="630" w:leftChars="3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附：委托代理人身份证复印件</w:t>
      </w:r>
    </w:p>
    <w:p w14:paraId="48466530">
      <w:pPr>
        <w:spacing w:line="360" w:lineRule="auto"/>
        <w:ind w:firstLine="640" w:firstLineChars="200"/>
        <w:jc w:val="left"/>
        <w:rPr>
          <w:rFonts w:ascii="仿宋" w:hAnsi="仿宋" w:eastAsia="仿宋" w:cs="仿宋"/>
          <w:kern w:val="0"/>
          <w:sz w:val="32"/>
          <w:szCs w:val="32"/>
        </w:rPr>
      </w:pPr>
    </w:p>
    <w:p w14:paraId="740315FD">
      <w:pPr>
        <w:spacing w:line="360" w:lineRule="auto"/>
        <w:ind w:firstLine="0" w:firstLineChars="0"/>
        <w:jc w:val="left"/>
        <w:rPr>
          <w:rFonts w:ascii="仿宋" w:hAnsi="仿宋" w:eastAsia="仿宋" w:cs="仿宋"/>
          <w:kern w:val="0"/>
          <w:sz w:val="32"/>
          <w:szCs w:val="32"/>
        </w:rPr>
      </w:pPr>
    </w:p>
    <w:p w14:paraId="104F70AB">
      <w:pPr>
        <w:spacing w:line="360" w:lineRule="auto"/>
        <w:ind w:firstLine="2880" w:firstLineChars="9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报价人：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（盖报价人单位公章）</w:t>
      </w:r>
    </w:p>
    <w:p w14:paraId="4E66D2EC">
      <w:pPr>
        <w:spacing w:line="360" w:lineRule="auto"/>
        <w:ind w:firstLine="640" w:firstLineChars="2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法定代表人：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(签字或签章)</w:t>
      </w:r>
    </w:p>
    <w:p w14:paraId="46FA5B72">
      <w:pPr>
        <w:spacing w:line="360" w:lineRule="auto"/>
        <w:ind w:firstLine="640" w:firstLineChars="200"/>
        <w:jc w:val="right"/>
        <w:rPr>
          <w:rFonts w:hint="eastAsia" w:ascii="仿宋" w:hAnsi="仿宋" w:eastAsia="仿宋" w:cs="仿宋"/>
          <w:kern w:val="0"/>
          <w:sz w:val="32"/>
          <w:szCs w:val="32"/>
          <w:lang w:eastAsia="zh-CN"/>
        </w:rPr>
      </w:pPr>
      <w:r>
        <w:rPr>
          <w:rFonts w:hint="eastAsia" w:ascii="仿宋" w:hAnsi="仿宋" w:eastAsia="仿宋" w:cs="仿宋"/>
          <w:kern w:val="0"/>
          <w:sz w:val="32"/>
          <w:szCs w:val="32"/>
        </w:rPr>
        <w:t>委托代理人：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(签字)</w:t>
      </w:r>
    </w:p>
    <w:p w14:paraId="475D566E">
      <w:pPr>
        <w:spacing w:line="360" w:lineRule="auto"/>
        <w:ind w:firstLine="640" w:firstLineChars="200"/>
        <w:jc w:val="right"/>
        <w:rPr>
          <w:rFonts w:hint="eastAsia" w:ascii="仿宋" w:hAnsi="仿宋" w:eastAsia="仿宋" w:cs="仿宋"/>
          <w:kern w:val="0"/>
          <w:sz w:val="32"/>
          <w:szCs w:val="32"/>
          <w:lang w:eastAsia="zh-CN"/>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14:paraId="17B7440E">
      <w:pPr>
        <w:spacing w:line="500" w:lineRule="exact"/>
        <w:jc w:val="left"/>
        <w:rPr>
          <w:rFonts w:hint="eastAsia" w:ascii="宋体" w:hAnsi="宋体" w:eastAsia="宋体" w:cs="宋体"/>
          <w:sz w:val="24"/>
          <w:lang w:eastAsia="zh-CN"/>
        </w:rPr>
      </w:pPr>
      <w:r>
        <w:rPr>
          <w:rFonts w:hint="eastAsia" w:ascii="仿宋" w:hAnsi="仿宋" w:eastAsia="仿宋" w:cs="仿宋"/>
          <w:kern w:val="0"/>
          <w:sz w:val="32"/>
          <w:szCs w:val="32"/>
        </w:rPr>
        <w:t>附件3：项目询价承诺函及报价表</w:t>
      </w:r>
    </w:p>
    <w:p w14:paraId="323042B0">
      <w:pPr>
        <w:spacing w:line="500" w:lineRule="exact"/>
        <w:jc w:val="left"/>
        <w:rPr>
          <w:rFonts w:ascii="宋体" w:hAnsi="宋体" w:cs="宋体"/>
          <w:sz w:val="24"/>
        </w:rPr>
      </w:pPr>
    </w:p>
    <w:p w14:paraId="32469688">
      <w:pPr>
        <w:spacing w:line="500" w:lineRule="exact"/>
        <w:jc w:val="left"/>
        <w:rPr>
          <w:rFonts w:ascii="宋体" w:hAnsi="宋体" w:cs="宋体"/>
          <w:sz w:val="24"/>
        </w:rPr>
      </w:pPr>
    </w:p>
    <w:p w14:paraId="3267043C">
      <w:pPr>
        <w:spacing w:line="500" w:lineRule="exact"/>
        <w:jc w:val="center"/>
        <w:rPr>
          <w:rFonts w:ascii="黑体" w:hAnsi="黑体" w:eastAsia="黑体" w:cs="黑体"/>
          <w:kern w:val="0"/>
          <w:sz w:val="36"/>
          <w:szCs w:val="36"/>
        </w:rPr>
      </w:pPr>
      <w:r>
        <w:rPr>
          <w:rFonts w:hint="eastAsia" w:ascii="黑体" w:hAnsi="黑体" w:eastAsia="黑体" w:cs="黑体"/>
          <w:kern w:val="0"/>
          <w:sz w:val="36"/>
          <w:szCs w:val="36"/>
        </w:rPr>
        <w:t>项目询价承诺函及报价表</w:t>
      </w:r>
    </w:p>
    <w:p w14:paraId="4078ACD4">
      <w:pPr>
        <w:spacing w:line="500" w:lineRule="exact"/>
        <w:jc w:val="center"/>
        <w:rPr>
          <w:rFonts w:ascii="黑体" w:hAnsi="黑体" w:eastAsia="黑体" w:cs="黑体"/>
          <w:kern w:val="0"/>
          <w:sz w:val="36"/>
          <w:szCs w:val="36"/>
        </w:rPr>
      </w:pPr>
    </w:p>
    <w:p w14:paraId="7C8CB6BB">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福州市滨海水务发展有限公司：</w:t>
      </w:r>
    </w:p>
    <w:p w14:paraId="1C5F4107">
      <w:pPr>
        <w:spacing w:line="36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我单位承诺，我单位所提供的所有资料均真实、合法，近两年内没有不良记录，若查出存在虚假信息，由此产生的法律后果一律由我单位承担。</w:t>
      </w:r>
    </w:p>
    <w:p w14:paraId="5804111B">
      <w:pPr>
        <w:spacing w:line="360" w:lineRule="auto"/>
        <w:jc w:val="left"/>
        <w:rPr>
          <w:rFonts w:ascii="仿宋" w:hAnsi="仿宋" w:eastAsia="仿宋" w:cs="仿宋"/>
          <w:kern w:val="0"/>
          <w:sz w:val="32"/>
          <w:szCs w:val="32"/>
        </w:rPr>
      </w:pPr>
    </w:p>
    <w:p w14:paraId="136D3DD3">
      <w:pPr>
        <w:spacing w:line="360" w:lineRule="auto"/>
        <w:jc w:val="left"/>
        <w:rPr>
          <w:rFonts w:ascii="仿宋" w:hAnsi="仿宋" w:eastAsia="仿宋" w:cs="仿宋"/>
          <w:kern w:val="0"/>
          <w:sz w:val="32"/>
          <w:szCs w:val="32"/>
        </w:rPr>
      </w:pPr>
    </w:p>
    <w:p w14:paraId="7D8249EC">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联系人：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联系电话：</w:t>
      </w:r>
    </w:p>
    <w:p w14:paraId="3D53D0EE">
      <w:pPr>
        <w:spacing w:line="360" w:lineRule="auto"/>
        <w:jc w:val="left"/>
        <w:rPr>
          <w:rFonts w:hint="eastAsia" w:ascii="仿宋" w:hAnsi="仿宋" w:eastAsia="仿宋" w:cs="仿宋"/>
          <w:kern w:val="0"/>
          <w:sz w:val="32"/>
          <w:szCs w:val="32"/>
          <w:lang w:eastAsia="zh-CN"/>
        </w:rPr>
      </w:pPr>
    </w:p>
    <w:p w14:paraId="27E035AB">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报价承诺单位：</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(公章)</w:t>
      </w:r>
    </w:p>
    <w:p w14:paraId="0B1CEC6F">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法定代表人：</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(签名或盖章)</w:t>
      </w:r>
    </w:p>
    <w:p w14:paraId="2CCF2DFD">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14:paraId="3CAC3EFB">
      <w:pPr>
        <w:spacing w:line="500" w:lineRule="exact"/>
        <w:jc w:val="left"/>
        <w:rPr>
          <w:rFonts w:ascii="仿宋" w:hAnsi="仿宋" w:eastAsia="仿宋" w:cs="仿宋"/>
          <w:kern w:val="0"/>
          <w:sz w:val="32"/>
          <w:szCs w:val="32"/>
        </w:rPr>
      </w:pPr>
    </w:p>
    <w:p w14:paraId="19DF6515">
      <w:pPr>
        <w:spacing w:line="500" w:lineRule="exact"/>
        <w:jc w:val="left"/>
        <w:rPr>
          <w:rFonts w:ascii="仿宋" w:hAnsi="仿宋" w:eastAsia="仿宋" w:cs="仿宋"/>
          <w:kern w:val="0"/>
          <w:sz w:val="32"/>
          <w:szCs w:val="32"/>
        </w:rPr>
      </w:pPr>
    </w:p>
    <w:p w14:paraId="307AF1F4">
      <w:pPr>
        <w:spacing w:line="500" w:lineRule="exact"/>
        <w:jc w:val="left"/>
        <w:rPr>
          <w:rFonts w:ascii="仿宋" w:hAnsi="仿宋" w:eastAsia="仿宋" w:cs="仿宋"/>
          <w:kern w:val="0"/>
          <w:sz w:val="32"/>
          <w:szCs w:val="32"/>
        </w:rPr>
      </w:pPr>
    </w:p>
    <w:p w14:paraId="18536574">
      <w:pPr>
        <w:spacing w:line="500" w:lineRule="exact"/>
        <w:jc w:val="left"/>
        <w:rPr>
          <w:rFonts w:ascii="仿宋" w:hAnsi="仿宋" w:eastAsia="仿宋" w:cs="仿宋"/>
          <w:kern w:val="0"/>
          <w:sz w:val="32"/>
          <w:szCs w:val="32"/>
        </w:rPr>
      </w:pPr>
    </w:p>
    <w:p w14:paraId="250BA34E">
      <w:pPr>
        <w:spacing w:line="500" w:lineRule="exact"/>
        <w:jc w:val="left"/>
        <w:rPr>
          <w:rFonts w:ascii="仿宋" w:hAnsi="仿宋" w:eastAsia="仿宋" w:cs="仿宋"/>
          <w:kern w:val="0"/>
          <w:sz w:val="32"/>
          <w:szCs w:val="32"/>
        </w:rPr>
      </w:pPr>
    </w:p>
    <w:p w14:paraId="6E0983A1">
      <w:pPr>
        <w:spacing w:line="500" w:lineRule="exact"/>
        <w:jc w:val="left"/>
        <w:rPr>
          <w:rFonts w:ascii="仿宋" w:hAnsi="仿宋" w:eastAsia="仿宋" w:cs="仿宋"/>
          <w:kern w:val="0"/>
          <w:sz w:val="32"/>
          <w:szCs w:val="32"/>
        </w:rPr>
      </w:pPr>
    </w:p>
    <w:p w14:paraId="0D3F4CE2">
      <w:pPr>
        <w:spacing w:line="500" w:lineRule="exact"/>
        <w:jc w:val="left"/>
        <w:rPr>
          <w:rFonts w:ascii="仿宋" w:hAnsi="仿宋" w:eastAsia="仿宋" w:cs="仿宋"/>
          <w:kern w:val="0"/>
          <w:sz w:val="32"/>
          <w:szCs w:val="32"/>
        </w:rPr>
      </w:pPr>
    </w:p>
    <w:p w14:paraId="2F1D43E6">
      <w:pPr>
        <w:spacing w:line="500" w:lineRule="exact"/>
        <w:jc w:val="center"/>
        <w:rPr>
          <w:rFonts w:ascii="黑体" w:hAnsi="黑体" w:eastAsia="黑体" w:cs="黑体"/>
          <w:kern w:val="0"/>
          <w:sz w:val="40"/>
          <w:szCs w:val="40"/>
        </w:rPr>
      </w:pPr>
    </w:p>
    <w:p w14:paraId="40B33A92">
      <w:pPr>
        <w:jc w:val="left"/>
        <w:rPr>
          <w:rFonts w:ascii="黑体" w:hAnsi="黑体" w:eastAsia="黑体" w:cs="黑体"/>
          <w:kern w:val="0"/>
          <w:sz w:val="40"/>
          <w:szCs w:val="40"/>
        </w:rPr>
      </w:pPr>
      <w:r>
        <w:rPr>
          <w:rFonts w:hint="eastAsia" w:ascii="黑体" w:hAnsi="黑体" w:eastAsia="黑体" w:cs="黑体"/>
          <w:kern w:val="0"/>
          <w:sz w:val="40"/>
          <w:szCs w:val="40"/>
        </w:rPr>
        <w:br w:type="page"/>
      </w:r>
    </w:p>
    <w:p w14:paraId="60CE2342">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报价表</w:t>
      </w:r>
    </w:p>
    <w:p w14:paraId="740FF263">
      <w:pPr>
        <w:spacing w:line="500" w:lineRule="exact"/>
        <w:jc w:val="center"/>
        <w:rPr>
          <w:rFonts w:ascii="黑体" w:hAnsi="黑体" w:eastAsia="黑体" w:cs="黑体"/>
          <w:kern w:val="0"/>
          <w:sz w:val="40"/>
          <w:szCs w:val="40"/>
        </w:rPr>
      </w:pPr>
    </w:p>
    <w:p w14:paraId="0FE0FAF6">
      <w:pPr>
        <w:spacing w:line="500" w:lineRule="exact"/>
        <w:rPr>
          <w:rFonts w:hint="eastAsia" w:ascii="仿宋" w:hAnsi="仿宋" w:eastAsia="仿宋" w:cs="仿宋"/>
          <w:kern w:val="0"/>
          <w:sz w:val="32"/>
          <w:szCs w:val="32"/>
          <w:lang w:eastAsia="zh-CN"/>
        </w:rPr>
      </w:pPr>
      <w:r>
        <w:rPr>
          <w:rFonts w:hint="eastAsia" w:ascii="仿宋" w:hAnsi="仿宋" w:eastAsia="仿宋" w:cs="仿宋"/>
          <w:kern w:val="0"/>
          <w:sz w:val="32"/>
          <w:szCs w:val="32"/>
        </w:rPr>
        <w:t>报价单位全称(盖章)：</w:t>
      </w:r>
    </w:p>
    <w:p w14:paraId="1DA4C75E">
      <w:pPr>
        <w:spacing w:line="500" w:lineRule="exact"/>
        <w:rPr>
          <w:rFonts w:ascii="仿宋" w:hAnsi="仿宋" w:eastAsia="仿宋" w:cs="仿宋"/>
          <w:kern w:val="0"/>
          <w:sz w:val="32"/>
          <w:szCs w:val="32"/>
        </w:rPr>
      </w:pPr>
      <w:r>
        <w:rPr>
          <w:rFonts w:hint="eastAsia" w:ascii="仿宋" w:hAnsi="仿宋" w:eastAsia="仿宋" w:cs="仿宋"/>
          <w:kern w:val="0"/>
          <w:sz w:val="32"/>
          <w:szCs w:val="32"/>
        </w:rPr>
        <w:t>报价日期：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14:paraId="2B246094">
      <w:pPr>
        <w:spacing w:line="500" w:lineRule="exact"/>
        <w:rPr>
          <w:rFonts w:ascii="仿宋" w:hAnsi="仿宋" w:eastAsia="仿宋" w:cs="仿宋"/>
          <w:kern w:val="0"/>
          <w:sz w:val="32"/>
          <w:szCs w:val="32"/>
        </w:rPr>
      </w:pPr>
    </w:p>
    <w:p w14:paraId="04F4C320">
      <w:pPr>
        <w:spacing w:line="500" w:lineRule="exact"/>
        <w:ind w:left="160"/>
        <w:rPr>
          <w:rFonts w:ascii="宋体" w:hAnsi="宋体" w:cs="宋体"/>
          <w:sz w:val="24"/>
        </w:rPr>
      </w:pPr>
      <w:r>
        <w:rPr>
          <w:rFonts w:hint="eastAsia" w:ascii="宋体" w:hAnsi="宋体" w:cs="宋体"/>
          <w:sz w:val="24"/>
        </w:rPr>
        <w:t>一、</w:t>
      </w:r>
      <w:r>
        <w:rPr>
          <w:rFonts w:hint="eastAsia" w:ascii="仿宋" w:hAnsi="仿宋" w:eastAsia="仿宋" w:cs="仿宋"/>
          <w:kern w:val="0"/>
          <w:sz w:val="32"/>
          <w:szCs w:val="32"/>
        </w:rPr>
        <w:t>具体报价如下</w:t>
      </w:r>
      <w:r>
        <w:rPr>
          <w:rFonts w:ascii="宋体" w:hAnsi="宋体" w:cs="宋体"/>
          <w:sz w:val="24"/>
        </w:rPr>
        <w:t>：</w:t>
      </w:r>
    </w:p>
    <w:tbl>
      <w:tblPr>
        <w:tblStyle w:val="22"/>
        <w:tblpPr w:leftFromText="180" w:rightFromText="180" w:vertAnchor="text" w:horzAnchor="page" w:tblpX="1280" w:tblpY="109"/>
        <w:tblOverlap w:val="never"/>
        <w:tblW w:w="9234" w:type="dxa"/>
        <w:jc w:val="center"/>
        <w:tblLayout w:type="fixed"/>
        <w:tblCellMar>
          <w:top w:w="0" w:type="dxa"/>
          <w:left w:w="0" w:type="dxa"/>
          <w:bottom w:w="0" w:type="dxa"/>
          <w:right w:w="0" w:type="dxa"/>
        </w:tblCellMar>
      </w:tblPr>
      <w:tblGrid>
        <w:gridCol w:w="657"/>
        <w:gridCol w:w="1498"/>
        <w:gridCol w:w="3302"/>
        <w:gridCol w:w="1335"/>
        <w:gridCol w:w="1230"/>
        <w:gridCol w:w="1212"/>
      </w:tblGrid>
      <w:tr w14:paraId="5171C168">
        <w:tblPrEx>
          <w:tblCellMar>
            <w:top w:w="0" w:type="dxa"/>
            <w:left w:w="0" w:type="dxa"/>
            <w:bottom w:w="0" w:type="dxa"/>
            <w:right w:w="0" w:type="dxa"/>
          </w:tblCellMar>
        </w:tblPrEx>
        <w:trPr>
          <w:trHeight w:val="660" w:hRule="atLeast"/>
          <w:jc w:val="center"/>
        </w:trPr>
        <w:tc>
          <w:tcPr>
            <w:tcW w:w="65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BF8D338">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149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91BF98C">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330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C310128">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2661990">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个</w:t>
            </w:r>
            <w:r>
              <w:rPr>
                <w:rFonts w:hint="eastAsia" w:ascii="仿宋" w:hAnsi="仿宋" w:eastAsia="仿宋" w:cs="仿宋"/>
                <w:kern w:val="0"/>
                <w:sz w:val="24"/>
              </w:rPr>
              <w:t>）</w:t>
            </w:r>
          </w:p>
        </w:tc>
        <w:tc>
          <w:tcPr>
            <w:tcW w:w="1230" w:type="dxa"/>
            <w:tcBorders>
              <w:top w:val="single" w:color="000000" w:sz="4" w:space="0"/>
              <w:left w:val="single" w:color="000000" w:sz="4" w:space="0"/>
              <w:bottom w:val="single" w:color="auto" w:sz="4" w:space="0"/>
              <w:right w:val="single" w:color="000000" w:sz="4" w:space="0"/>
            </w:tcBorders>
            <w:vAlign w:val="center"/>
          </w:tcPr>
          <w:p w14:paraId="587C5804">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212" w:type="dxa"/>
            <w:tcBorders>
              <w:top w:val="single" w:color="000000" w:sz="4" w:space="0"/>
              <w:left w:val="single" w:color="000000" w:sz="4" w:space="0"/>
              <w:bottom w:val="single" w:color="auto" w:sz="4" w:space="0"/>
              <w:right w:val="single" w:color="000000" w:sz="4" w:space="0"/>
            </w:tcBorders>
            <w:vAlign w:val="center"/>
          </w:tcPr>
          <w:p w14:paraId="59D67EF5">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14:paraId="7DEDD0C2">
        <w:tblPrEx>
          <w:tblCellMar>
            <w:top w:w="0" w:type="dxa"/>
            <w:left w:w="0" w:type="dxa"/>
            <w:bottom w:w="0" w:type="dxa"/>
            <w:right w:w="0" w:type="dxa"/>
          </w:tblCellMar>
        </w:tblPrEx>
        <w:trPr>
          <w:trHeight w:val="815" w:hRule="atLeast"/>
          <w:jc w:val="center"/>
        </w:trPr>
        <w:tc>
          <w:tcPr>
            <w:tcW w:w="6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C83F4E8">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w:t>
            </w:r>
          </w:p>
        </w:tc>
        <w:tc>
          <w:tcPr>
            <w:tcW w:w="149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2E4518C">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动力站配套</w:t>
            </w:r>
          </w:p>
          <w:p w14:paraId="7FEAE7ED">
            <w:pPr>
              <w:widowControl/>
              <w:spacing w:line="360" w:lineRule="auto"/>
              <w:jc w:val="center"/>
              <w:textAlignment w:val="center"/>
              <w:rPr>
                <w:rFonts w:ascii="仿宋" w:hAnsi="仿宋" w:eastAsia="仿宋" w:cs="仿宋"/>
                <w:sz w:val="24"/>
              </w:rPr>
            </w:pPr>
            <w:r>
              <w:rPr>
                <w:rFonts w:hint="eastAsia" w:ascii="仿宋" w:hAnsi="仿宋" w:eastAsia="仿宋" w:cs="仿宋"/>
                <w:sz w:val="24"/>
              </w:rPr>
              <w:t>排水带</w:t>
            </w:r>
          </w:p>
        </w:tc>
        <w:tc>
          <w:tcPr>
            <w:tcW w:w="330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1BACC4D">
            <w:pPr>
              <w:widowControl/>
              <w:spacing w:line="360" w:lineRule="auto"/>
              <w:jc w:val="center"/>
              <w:textAlignment w:val="center"/>
              <w:rPr>
                <w:rFonts w:ascii="仿宋" w:hAnsi="仿宋" w:eastAsia="仿宋" w:cs="仿宋"/>
                <w:sz w:val="22"/>
                <w:szCs w:val="22"/>
              </w:rPr>
            </w:pPr>
            <w:r>
              <w:rPr>
                <w:rFonts w:hint="eastAsia" w:ascii="仿宋" w:hAnsi="仿宋" w:eastAsia="仿宋" w:cs="仿宋"/>
                <w:sz w:val="24"/>
              </w:rPr>
              <w:t>DN250mm</w:t>
            </w:r>
            <w:r>
              <w:rPr>
                <w:rFonts w:hint="eastAsia" w:ascii="仿宋" w:hAnsi="仿宋" w:eastAsia="仿宋" w:cs="仿宋"/>
                <w:sz w:val="24"/>
                <w:lang w:eastAsia="zh-CN"/>
              </w:rPr>
              <w:t>，</w:t>
            </w:r>
            <w:r>
              <w:rPr>
                <w:rFonts w:hint="eastAsia" w:ascii="仿宋" w:hAnsi="仿宋" w:eastAsia="仿宋" w:cs="仿宋"/>
                <w:sz w:val="24"/>
              </w:rPr>
              <w:t>每卷20米，含配套水带接合器和不锈钢快速卡箍</w:t>
            </w:r>
            <w:r>
              <w:rPr>
                <w:rFonts w:hint="eastAsia" w:ascii="仿宋" w:hAnsi="仿宋" w:eastAsia="仿宋" w:cs="仿宋"/>
                <w:sz w:val="24"/>
                <w:lang w:eastAsia="zh-CN"/>
              </w:rPr>
              <w:t>，</w:t>
            </w:r>
            <w:r>
              <w:rPr>
                <w:rFonts w:hint="eastAsia" w:ascii="仿宋" w:hAnsi="仿宋" w:eastAsia="仿宋" w:cs="仿宋"/>
                <w:sz w:val="24"/>
                <w:lang w:val="en-US" w:eastAsia="zh-CN"/>
              </w:rPr>
              <w:t>阴阳角接头</w:t>
            </w:r>
          </w:p>
        </w:tc>
        <w:tc>
          <w:tcPr>
            <w:tcW w:w="13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D2BBDF5">
            <w:pPr>
              <w:widowControl/>
              <w:spacing w:line="600" w:lineRule="exact"/>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c>
          <w:tcPr>
            <w:tcW w:w="1230" w:type="dxa"/>
            <w:tcBorders>
              <w:top w:val="single" w:color="auto" w:sz="4" w:space="0"/>
              <w:left w:val="single" w:color="auto" w:sz="4" w:space="0"/>
              <w:bottom w:val="single" w:color="auto" w:sz="4" w:space="0"/>
              <w:right w:val="single" w:color="auto" w:sz="4" w:space="0"/>
            </w:tcBorders>
          </w:tcPr>
          <w:p w14:paraId="1FDB71BD">
            <w:pPr>
              <w:widowControl/>
              <w:spacing w:line="600" w:lineRule="exact"/>
              <w:jc w:val="center"/>
              <w:textAlignment w:val="center"/>
              <w:rPr>
                <w:rFonts w:ascii="仿宋" w:hAnsi="仿宋" w:eastAsia="仿宋" w:cs="仿宋"/>
                <w:kern w:val="0"/>
                <w:sz w:val="24"/>
              </w:rPr>
            </w:pPr>
          </w:p>
        </w:tc>
        <w:tc>
          <w:tcPr>
            <w:tcW w:w="1212" w:type="dxa"/>
            <w:tcBorders>
              <w:top w:val="single" w:color="auto" w:sz="4" w:space="0"/>
              <w:left w:val="single" w:color="auto" w:sz="4" w:space="0"/>
              <w:bottom w:val="single" w:color="auto" w:sz="4" w:space="0"/>
              <w:right w:val="single" w:color="auto" w:sz="4" w:space="0"/>
            </w:tcBorders>
          </w:tcPr>
          <w:p w14:paraId="15360AF6">
            <w:pPr>
              <w:widowControl/>
              <w:spacing w:line="600" w:lineRule="exact"/>
              <w:jc w:val="center"/>
              <w:textAlignment w:val="center"/>
              <w:rPr>
                <w:rFonts w:ascii="仿宋" w:hAnsi="仿宋" w:eastAsia="仿宋" w:cs="仿宋"/>
                <w:kern w:val="0"/>
                <w:sz w:val="24"/>
              </w:rPr>
            </w:pPr>
          </w:p>
        </w:tc>
      </w:tr>
      <w:tr w14:paraId="2CF419C3">
        <w:tblPrEx>
          <w:tblCellMar>
            <w:top w:w="0" w:type="dxa"/>
            <w:left w:w="0" w:type="dxa"/>
            <w:bottom w:w="0" w:type="dxa"/>
            <w:right w:w="0" w:type="dxa"/>
          </w:tblCellMar>
        </w:tblPrEx>
        <w:trPr>
          <w:trHeight w:val="815" w:hRule="atLeast"/>
          <w:jc w:val="center"/>
        </w:trPr>
        <w:tc>
          <w:tcPr>
            <w:tcW w:w="6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B4E4CB8">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lang w:val="en-US" w:eastAsia="zh-CN"/>
              </w:rPr>
              <w:t>2</w:t>
            </w:r>
          </w:p>
        </w:tc>
        <w:tc>
          <w:tcPr>
            <w:tcW w:w="149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C79D010">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便携式水泵</w:t>
            </w:r>
          </w:p>
          <w:p w14:paraId="2BB608C4">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配套排水带</w:t>
            </w:r>
          </w:p>
        </w:tc>
        <w:tc>
          <w:tcPr>
            <w:tcW w:w="330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2CA2A51">
            <w:pPr>
              <w:widowControl/>
              <w:spacing w:line="360" w:lineRule="auto"/>
              <w:jc w:val="center"/>
              <w:textAlignment w:val="center"/>
              <w:rPr>
                <w:rFonts w:hint="eastAsia" w:ascii="仿宋" w:hAnsi="仿宋" w:eastAsia="仿宋" w:cs="仿宋"/>
                <w:sz w:val="24"/>
              </w:rPr>
            </w:pPr>
            <w:r>
              <w:rPr>
                <w:rFonts w:hint="eastAsia" w:ascii="仿宋" w:hAnsi="仿宋" w:eastAsia="仿宋" w:cs="仿宋"/>
                <w:sz w:val="24"/>
              </w:rPr>
              <w:t>DN2</w:t>
            </w:r>
            <w:r>
              <w:rPr>
                <w:rFonts w:hint="eastAsia" w:ascii="仿宋" w:hAnsi="仿宋" w:eastAsia="仿宋" w:cs="仿宋"/>
                <w:sz w:val="24"/>
                <w:lang w:val="en-US" w:eastAsia="zh-CN"/>
              </w:rPr>
              <w:t>0</w:t>
            </w:r>
            <w:r>
              <w:rPr>
                <w:rFonts w:hint="eastAsia" w:ascii="仿宋" w:hAnsi="仿宋" w:eastAsia="仿宋" w:cs="仿宋"/>
                <w:sz w:val="24"/>
              </w:rPr>
              <w:t>0mm</w:t>
            </w:r>
            <w:r>
              <w:rPr>
                <w:rFonts w:hint="eastAsia" w:ascii="仿宋" w:hAnsi="仿宋" w:eastAsia="仿宋" w:cs="仿宋"/>
                <w:sz w:val="24"/>
                <w:lang w:eastAsia="zh-CN"/>
              </w:rPr>
              <w:t>，每卷 20米，含配套水带接合器和不锈钢快速卡箍，</w:t>
            </w:r>
            <w:r>
              <w:rPr>
                <w:rFonts w:hint="eastAsia" w:ascii="仿宋" w:hAnsi="仿宋" w:eastAsia="仿宋" w:cs="仿宋"/>
                <w:sz w:val="24"/>
                <w:lang w:val="en-US" w:eastAsia="zh-CN"/>
              </w:rPr>
              <w:t>阴阳角接头</w:t>
            </w:r>
          </w:p>
        </w:tc>
        <w:tc>
          <w:tcPr>
            <w:tcW w:w="13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0999CAE">
            <w:pPr>
              <w:widowControl/>
              <w:spacing w:line="600" w:lineRule="exact"/>
              <w:jc w:val="center"/>
              <w:textAlignment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230" w:type="dxa"/>
            <w:tcBorders>
              <w:top w:val="single" w:color="auto" w:sz="4" w:space="0"/>
              <w:left w:val="single" w:color="auto" w:sz="4" w:space="0"/>
              <w:bottom w:val="single" w:color="auto" w:sz="4" w:space="0"/>
              <w:right w:val="single" w:color="auto" w:sz="4" w:space="0"/>
            </w:tcBorders>
          </w:tcPr>
          <w:p w14:paraId="6089525B">
            <w:pPr>
              <w:widowControl/>
              <w:spacing w:line="600" w:lineRule="exact"/>
              <w:jc w:val="center"/>
              <w:textAlignment w:val="center"/>
              <w:rPr>
                <w:rFonts w:ascii="仿宋" w:hAnsi="仿宋" w:eastAsia="仿宋" w:cs="仿宋"/>
                <w:kern w:val="0"/>
                <w:sz w:val="24"/>
              </w:rPr>
            </w:pPr>
          </w:p>
        </w:tc>
        <w:tc>
          <w:tcPr>
            <w:tcW w:w="1212" w:type="dxa"/>
            <w:tcBorders>
              <w:top w:val="single" w:color="auto" w:sz="4" w:space="0"/>
              <w:left w:val="single" w:color="auto" w:sz="4" w:space="0"/>
              <w:bottom w:val="single" w:color="auto" w:sz="4" w:space="0"/>
              <w:right w:val="single" w:color="auto" w:sz="4" w:space="0"/>
            </w:tcBorders>
          </w:tcPr>
          <w:p w14:paraId="2951E492">
            <w:pPr>
              <w:widowControl/>
              <w:spacing w:line="600" w:lineRule="exact"/>
              <w:jc w:val="center"/>
              <w:textAlignment w:val="center"/>
              <w:rPr>
                <w:rFonts w:ascii="仿宋" w:hAnsi="仿宋" w:eastAsia="仿宋" w:cs="仿宋"/>
                <w:kern w:val="0"/>
                <w:sz w:val="24"/>
              </w:rPr>
            </w:pPr>
          </w:p>
        </w:tc>
      </w:tr>
      <w:tr w14:paraId="594CBDEC">
        <w:tblPrEx>
          <w:tblCellMar>
            <w:top w:w="0" w:type="dxa"/>
            <w:left w:w="0" w:type="dxa"/>
            <w:bottom w:w="0" w:type="dxa"/>
            <w:right w:w="0" w:type="dxa"/>
          </w:tblCellMar>
        </w:tblPrEx>
        <w:trPr>
          <w:trHeight w:val="2165" w:hRule="atLeast"/>
          <w:jc w:val="center"/>
        </w:trPr>
        <w:tc>
          <w:tcPr>
            <w:tcW w:w="9234" w:type="dxa"/>
            <w:gridSpan w:val="6"/>
            <w:tcBorders>
              <w:left w:val="single" w:color="auto" w:sz="4" w:space="0"/>
              <w:bottom w:val="single" w:color="auto" w:sz="4" w:space="0"/>
              <w:right w:val="single" w:color="auto" w:sz="4" w:space="0"/>
            </w:tcBorders>
          </w:tcPr>
          <w:p w14:paraId="4EE0FC19">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rPr>
              <w:t>（大写：</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rPr>
              <w:t>）；税率</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%，不含税价</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元，税额</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元。</w:t>
            </w:r>
          </w:p>
          <w:p w14:paraId="09C9793D">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14:paraId="5090916C">
      <w:pPr>
        <w:numPr>
          <w:ilvl w:val="255"/>
          <w:numId w:val="0"/>
        </w:numPr>
        <w:spacing w:line="500" w:lineRule="exact"/>
        <w:ind w:left="160"/>
        <w:rPr>
          <w:rFonts w:ascii="宋体" w:hAnsi="宋体" w:cs="宋体"/>
          <w:sz w:val="24"/>
        </w:rPr>
      </w:pPr>
    </w:p>
    <w:p w14:paraId="4D10E6AD">
      <w:pPr>
        <w:spacing w:line="480" w:lineRule="auto"/>
        <w:ind w:left="159"/>
        <w:rPr>
          <w:rFonts w:hint="eastAsia" w:ascii="仿宋" w:hAnsi="仿宋" w:eastAsia="仿宋" w:cs="仿宋"/>
          <w:kern w:val="0"/>
          <w:sz w:val="32"/>
          <w:szCs w:val="32"/>
          <w:lang w:eastAsia="zh-CN"/>
        </w:rPr>
      </w:pPr>
      <w:r>
        <w:rPr>
          <w:rFonts w:hint="eastAsia" w:ascii="仿宋" w:hAnsi="仿宋" w:eastAsia="仿宋" w:cs="仿宋"/>
          <w:kern w:val="0"/>
          <w:sz w:val="32"/>
          <w:szCs w:val="32"/>
        </w:rPr>
        <w:t>二、付款方式响应：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14:paraId="736367F9">
      <w:pPr>
        <w:spacing w:line="480" w:lineRule="auto"/>
        <w:ind w:left="159"/>
        <w:rPr>
          <w:rFonts w:hint="eastAsia" w:ascii="仿宋" w:hAnsi="仿宋" w:eastAsia="仿宋" w:cs="仿宋"/>
          <w:kern w:val="0"/>
          <w:sz w:val="32"/>
          <w:szCs w:val="32"/>
          <w:lang w:eastAsia="zh-CN"/>
        </w:rPr>
      </w:pPr>
      <w:r>
        <w:rPr>
          <w:rFonts w:hint="eastAsia" w:ascii="仿宋" w:hAnsi="仿宋" w:eastAsia="仿宋" w:cs="仿宋"/>
          <w:kern w:val="0"/>
          <w:sz w:val="32"/>
          <w:szCs w:val="32"/>
        </w:rPr>
        <w:t>三、质保期响应：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14:paraId="47E2FA2A">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四、供货期响应：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w:t>
      </w:r>
    </w:p>
    <w:p w14:paraId="05C6D874">
      <w:pPr>
        <w:spacing w:line="480" w:lineRule="auto"/>
        <w:ind w:left="159"/>
        <w:jc w:val="left"/>
        <w:rPr>
          <w:rFonts w:ascii="仿宋" w:hAnsi="仿宋" w:eastAsia="仿宋" w:cs="仿宋"/>
        </w:rPr>
      </w:pPr>
      <w:r>
        <w:rPr>
          <w:rFonts w:hint="eastAsia" w:ascii="仿宋" w:hAnsi="仿宋" w:eastAsia="仿宋" w:cs="仿宋"/>
          <w:kern w:val="0"/>
          <w:sz w:val="32"/>
          <w:szCs w:val="32"/>
        </w:rPr>
        <w:t>五、附法人身份证复印件、营业执照复印件（加盖公章）</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BC4D6">
    <w:pPr>
      <w:pStyle w:val="14"/>
    </w:pPr>
  </w:p>
  <w:p w14:paraId="60F182DE">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6A40ADE">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14:paraId="36A40ADE">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D247E">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6283A"/>
    <w:multiLevelType w:val="multilevel"/>
    <w:tmpl w:val="A836283A"/>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1">
    <w:nsid w:val="C1099832"/>
    <w:multiLevelType w:val="multilevel"/>
    <w:tmpl w:val="C1099832"/>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2">
    <w:nsid w:val="DADFC8A7"/>
    <w:multiLevelType w:val="multilevel"/>
    <w:tmpl w:val="DADFC8A7"/>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3">
    <w:nsid w:val="FB33EFF3"/>
    <w:multiLevelType w:val="multilevel"/>
    <w:tmpl w:val="FB33EFF3"/>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4">
    <w:nsid w:val="1ECA6A48"/>
    <w:multiLevelType w:val="multilevel"/>
    <w:tmpl w:val="1ECA6A48"/>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5">
    <w:nsid w:val="237448FA"/>
    <w:multiLevelType w:val="multilevel"/>
    <w:tmpl w:val="237448FA"/>
    <w:lvl w:ilvl="0" w:tentative="0">
      <w:start w:val="1"/>
      <w:numFmt w:val="decimal"/>
      <w:pStyle w:val="2"/>
      <w:lvlText w:val="%1."/>
      <w:lvlJc w:val="left"/>
      <w:pPr>
        <w:ind w:left="1470" w:firstLine="0"/>
      </w:pPr>
      <w:rPr>
        <w:rFonts w:hint="default"/>
      </w:rPr>
    </w:lvl>
    <w:lvl w:ilvl="1" w:tentative="0">
      <w:start w:val="1"/>
      <w:numFmt w:val="decimal"/>
      <w:pStyle w:val="3"/>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abstractNum w:abstractNumId="6">
    <w:nsid w:val="4EE2FCAD"/>
    <w:multiLevelType w:val="multilevel"/>
    <w:tmpl w:val="4EE2FCAD"/>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7">
    <w:nsid w:val="76125571"/>
    <w:multiLevelType w:val="multilevel"/>
    <w:tmpl w:val="76125571"/>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None" w15:userId="姜语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yZDgxMjFjNGYxZTg1N2RhNTgyM2UzZTk0Y2QxOWI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0A8E"/>
    <w:rsid w:val="002F1035"/>
    <w:rsid w:val="0035212F"/>
    <w:rsid w:val="00361875"/>
    <w:rsid w:val="00365F96"/>
    <w:rsid w:val="00395E6B"/>
    <w:rsid w:val="003A2324"/>
    <w:rsid w:val="003B6679"/>
    <w:rsid w:val="003C7562"/>
    <w:rsid w:val="003D2B2D"/>
    <w:rsid w:val="003F4A32"/>
    <w:rsid w:val="004145E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21E2"/>
    <w:rsid w:val="00792429"/>
    <w:rsid w:val="007A62F4"/>
    <w:rsid w:val="007A653D"/>
    <w:rsid w:val="007A7026"/>
    <w:rsid w:val="007B5EAC"/>
    <w:rsid w:val="007C2795"/>
    <w:rsid w:val="007F78C0"/>
    <w:rsid w:val="00814106"/>
    <w:rsid w:val="00831A5A"/>
    <w:rsid w:val="0085614A"/>
    <w:rsid w:val="00860CE9"/>
    <w:rsid w:val="0086185B"/>
    <w:rsid w:val="0086555A"/>
    <w:rsid w:val="00867DB1"/>
    <w:rsid w:val="008A57E3"/>
    <w:rsid w:val="008B6D9E"/>
    <w:rsid w:val="008E276E"/>
    <w:rsid w:val="009010BD"/>
    <w:rsid w:val="00901D5C"/>
    <w:rsid w:val="00985B06"/>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1AA2446"/>
    <w:rsid w:val="02030C62"/>
    <w:rsid w:val="02831C4F"/>
    <w:rsid w:val="02AA3857"/>
    <w:rsid w:val="04096F7B"/>
    <w:rsid w:val="043C5180"/>
    <w:rsid w:val="04791B79"/>
    <w:rsid w:val="047B084D"/>
    <w:rsid w:val="04E61F22"/>
    <w:rsid w:val="04F26A8D"/>
    <w:rsid w:val="05B20D40"/>
    <w:rsid w:val="05B92F67"/>
    <w:rsid w:val="05FE126D"/>
    <w:rsid w:val="06836A98"/>
    <w:rsid w:val="06EF7A57"/>
    <w:rsid w:val="070A5096"/>
    <w:rsid w:val="07BC4B8E"/>
    <w:rsid w:val="095313EC"/>
    <w:rsid w:val="09815DAE"/>
    <w:rsid w:val="09827585"/>
    <w:rsid w:val="0A196286"/>
    <w:rsid w:val="0B0973CC"/>
    <w:rsid w:val="0B3E07B5"/>
    <w:rsid w:val="0B6C225B"/>
    <w:rsid w:val="0B6F5563"/>
    <w:rsid w:val="0B8E0BDE"/>
    <w:rsid w:val="0BB804FD"/>
    <w:rsid w:val="0C235D79"/>
    <w:rsid w:val="0CB45CBF"/>
    <w:rsid w:val="0CC453E2"/>
    <w:rsid w:val="0D654F9A"/>
    <w:rsid w:val="0D872E6D"/>
    <w:rsid w:val="0DC05C49"/>
    <w:rsid w:val="0DC87D56"/>
    <w:rsid w:val="0E4638B8"/>
    <w:rsid w:val="0F2471A4"/>
    <w:rsid w:val="0FA97E88"/>
    <w:rsid w:val="0FE83B0C"/>
    <w:rsid w:val="10F62635"/>
    <w:rsid w:val="112A22DF"/>
    <w:rsid w:val="11BE3DFB"/>
    <w:rsid w:val="13110F0C"/>
    <w:rsid w:val="13744342"/>
    <w:rsid w:val="13FA2641"/>
    <w:rsid w:val="142B6F4B"/>
    <w:rsid w:val="146F51F4"/>
    <w:rsid w:val="15CE27F0"/>
    <w:rsid w:val="16357658"/>
    <w:rsid w:val="165751B8"/>
    <w:rsid w:val="16996F47"/>
    <w:rsid w:val="17EF7DDE"/>
    <w:rsid w:val="185176B2"/>
    <w:rsid w:val="185A73B8"/>
    <w:rsid w:val="18BE57F9"/>
    <w:rsid w:val="193D4E8F"/>
    <w:rsid w:val="19C823C3"/>
    <w:rsid w:val="1A66453C"/>
    <w:rsid w:val="1AB74319"/>
    <w:rsid w:val="1AD82ED4"/>
    <w:rsid w:val="1AE741CC"/>
    <w:rsid w:val="1AFA5418"/>
    <w:rsid w:val="1B120284"/>
    <w:rsid w:val="1C4E08B2"/>
    <w:rsid w:val="1D42117A"/>
    <w:rsid w:val="1D5A3F66"/>
    <w:rsid w:val="1D9C77F2"/>
    <w:rsid w:val="1DC26636"/>
    <w:rsid w:val="1DC419F5"/>
    <w:rsid w:val="1E056F5C"/>
    <w:rsid w:val="1E3D3AF5"/>
    <w:rsid w:val="20D70025"/>
    <w:rsid w:val="215343A9"/>
    <w:rsid w:val="21C63EB0"/>
    <w:rsid w:val="2206787C"/>
    <w:rsid w:val="22777F3C"/>
    <w:rsid w:val="22FB235D"/>
    <w:rsid w:val="239F2EE7"/>
    <w:rsid w:val="23A82B36"/>
    <w:rsid w:val="24492B1A"/>
    <w:rsid w:val="245908E0"/>
    <w:rsid w:val="2530219E"/>
    <w:rsid w:val="25D118F9"/>
    <w:rsid w:val="26150399"/>
    <w:rsid w:val="26504B41"/>
    <w:rsid w:val="265239FF"/>
    <w:rsid w:val="26C469EE"/>
    <w:rsid w:val="27225ADA"/>
    <w:rsid w:val="27DF2B7D"/>
    <w:rsid w:val="286F636A"/>
    <w:rsid w:val="287D6531"/>
    <w:rsid w:val="292F5C81"/>
    <w:rsid w:val="2983071B"/>
    <w:rsid w:val="298D69BF"/>
    <w:rsid w:val="2A252A7A"/>
    <w:rsid w:val="2A2C3067"/>
    <w:rsid w:val="2AA414D5"/>
    <w:rsid w:val="2AD07F5B"/>
    <w:rsid w:val="2B813726"/>
    <w:rsid w:val="2C2B3539"/>
    <w:rsid w:val="2C476CA4"/>
    <w:rsid w:val="2C9A76BC"/>
    <w:rsid w:val="2CD75CC3"/>
    <w:rsid w:val="2DFB3D78"/>
    <w:rsid w:val="2E8E2039"/>
    <w:rsid w:val="2ECB6A58"/>
    <w:rsid w:val="2F526AE0"/>
    <w:rsid w:val="3049604F"/>
    <w:rsid w:val="305934BB"/>
    <w:rsid w:val="30771291"/>
    <w:rsid w:val="30950EA0"/>
    <w:rsid w:val="30A90681"/>
    <w:rsid w:val="30BB66FD"/>
    <w:rsid w:val="31B402DB"/>
    <w:rsid w:val="31D95AB0"/>
    <w:rsid w:val="324A4B98"/>
    <w:rsid w:val="328D779C"/>
    <w:rsid w:val="32F10A57"/>
    <w:rsid w:val="339D7922"/>
    <w:rsid w:val="34490400"/>
    <w:rsid w:val="34AC36CB"/>
    <w:rsid w:val="361467CD"/>
    <w:rsid w:val="36BE6A66"/>
    <w:rsid w:val="36D962FB"/>
    <w:rsid w:val="36EA3927"/>
    <w:rsid w:val="36FA1570"/>
    <w:rsid w:val="3757353B"/>
    <w:rsid w:val="375D66BB"/>
    <w:rsid w:val="380C355D"/>
    <w:rsid w:val="3822188F"/>
    <w:rsid w:val="38E247F0"/>
    <w:rsid w:val="398C3F31"/>
    <w:rsid w:val="399D5252"/>
    <w:rsid w:val="3A0E466B"/>
    <w:rsid w:val="3AB24375"/>
    <w:rsid w:val="3B0449E9"/>
    <w:rsid w:val="3B420685"/>
    <w:rsid w:val="3B903503"/>
    <w:rsid w:val="3B904699"/>
    <w:rsid w:val="3BA90D51"/>
    <w:rsid w:val="3BAE21CC"/>
    <w:rsid w:val="3BC60738"/>
    <w:rsid w:val="3E2A4B9A"/>
    <w:rsid w:val="3E822C12"/>
    <w:rsid w:val="3EBC36EA"/>
    <w:rsid w:val="3EC91A55"/>
    <w:rsid w:val="3F2D5101"/>
    <w:rsid w:val="3F3B267B"/>
    <w:rsid w:val="3FCA73F2"/>
    <w:rsid w:val="404935D4"/>
    <w:rsid w:val="408A2E53"/>
    <w:rsid w:val="40FB4687"/>
    <w:rsid w:val="414D3566"/>
    <w:rsid w:val="416D4D11"/>
    <w:rsid w:val="41927CAE"/>
    <w:rsid w:val="41A8677D"/>
    <w:rsid w:val="41B7144E"/>
    <w:rsid w:val="42760B78"/>
    <w:rsid w:val="42F123BB"/>
    <w:rsid w:val="43416BDE"/>
    <w:rsid w:val="438F475D"/>
    <w:rsid w:val="4396047D"/>
    <w:rsid w:val="43A610EB"/>
    <w:rsid w:val="43C36F47"/>
    <w:rsid w:val="43D56101"/>
    <w:rsid w:val="44D37FBC"/>
    <w:rsid w:val="4540008C"/>
    <w:rsid w:val="457E0B0D"/>
    <w:rsid w:val="45C35564"/>
    <w:rsid w:val="45C760A6"/>
    <w:rsid w:val="47107B3F"/>
    <w:rsid w:val="47551C39"/>
    <w:rsid w:val="478257BF"/>
    <w:rsid w:val="478F072A"/>
    <w:rsid w:val="48C9090C"/>
    <w:rsid w:val="49FD3BF5"/>
    <w:rsid w:val="4A626B43"/>
    <w:rsid w:val="4AD7783A"/>
    <w:rsid w:val="4AF279C8"/>
    <w:rsid w:val="4B350222"/>
    <w:rsid w:val="4B7C1424"/>
    <w:rsid w:val="4B8177E5"/>
    <w:rsid w:val="4BAB3A41"/>
    <w:rsid w:val="4C902BE9"/>
    <w:rsid w:val="4D1A7F48"/>
    <w:rsid w:val="4D203FBB"/>
    <w:rsid w:val="4D344E45"/>
    <w:rsid w:val="4D686EAB"/>
    <w:rsid w:val="4D7E4E08"/>
    <w:rsid w:val="4D9A28BB"/>
    <w:rsid w:val="4DE63C00"/>
    <w:rsid w:val="4E1E65ED"/>
    <w:rsid w:val="4F42646A"/>
    <w:rsid w:val="4FA6489B"/>
    <w:rsid w:val="4FD47450"/>
    <w:rsid w:val="50C12B86"/>
    <w:rsid w:val="50EB57D5"/>
    <w:rsid w:val="517C1894"/>
    <w:rsid w:val="51A378CF"/>
    <w:rsid w:val="51EB5064"/>
    <w:rsid w:val="51F71EA3"/>
    <w:rsid w:val="527530E7"/>
    <w:rsid w:val="54795CFA"/>
    <w:rsid w:val="548A4FB3"/>
    <w:rsid w:val="55D171D7"/>
    <w:rsid w:val="564C6BAF"/>
    <w:rsid w:val="567A50E7"/>
    <w:rsid w:val="572B7FAF"/>
    <w:rsid w:val="573910BF"/>
    <w:rsid w:val="574F3694"/>
    <w:rsid w:val="577543A9"/>
    <w:rsid w:val="57C6278D"/>
    <w:rsid w:val="57C82B41"/>
    <w:rsid w:val="581D62FA"/>
    <w:rsid w:val="5907397C"/>
    <w:rsid w:val="5A087AC2"/>
    <w:rsid w:val="5A2F4BFB"/>
    <w:rsid w:val="5A390D1E"/>
    <w:rsid w:val="5A4A69B1"/>
    <w:rsid w:val="5A7D0D70"/>
    <w:rsid w:val="5AF4393C"/>
    <w:rsid w:val="5B714528"/>
    <w:rsid w:val="5B820BE7"/>
    <w:rsid w:val="5B895418"/>
    <w:rsid w:val="5C946799"/>
    <w:rsid w:val="5CA86C4F"/>
    <w:rsid w:val="5D4A3D7C"/>
    <w:rsid w:val="5D593C15"/>
    <w:rsid w:val="5DD12B9C"/>
    <w:rsid w:val="5E92531F"/>
    <w:rsid w:val="5E9C00ED"/>
    <w:rsid w:val="5EA87BB5"/>
    <w:rsid w:val="5FC74D74"/>
    <w:rsid w:val="5FEB1070"/>
    <w:rsid w:val="603D72D6"/>
    <w:rsid w:val="60AD6134"/>
    <w:rsid w:val="617C10BC"/>
    <w:rsid w:val="61A34C11"/>
    <w:rsid w:val="61F2160F"/>
    <w:rsid w:val="63617C97"/>
    <w:rsid w:val="64405A5B"/>
    <w:rsid w:val="64942F24"/>
    <w:rsid w:val="64CA5A90"/>
    <w:rsid w:val="65185B12"/>
    <w:rsid w:val="658007FD"/>
    <w:rsid w:val="65C2569B"/>
    <w:rsid w:val="66FD5090"/>
    <w:rsid w:val="67444AD8"/>
    <w:rsid w:val="68391003"/>
    <w:rsid w:val="688C33BC"/>
    <w:rsid w:val="695C073C"/>
    <w:rsid w:val="699C64D9"/>
    <w:rsid w:val="6B2F1B41"/>
    <w:rsid w:val="6C0C39E7"/>
    <w:rsid w:val="6C910313"/>
    <w:rsid w:val="6CB610AF"/>
    <w:rsid w:val="6CD6565D"/>
    <w:rsid w:val="6CDF48FC"/>
    <w:rsid w:val="6CEC500A"/>
    <w:rsid w:val="6D007E02"/>
    <w:rsid w:val="6DD71FC4"/>
    <w:rsid w:val="6DFB42FF"/>
    <w:rsid w:val="6EBE18E7"/>
    <w:rsid w:val="6EC15DE4"/>
    <w:rsid w:val="6EF07839"/>
    <w:rsid w:val="6EF83DD8"/>
    <w:rsid w:val="6EFA607D"/>
    <w:rsid w:val="6F1F19DF"/>
    <w:rsid w:val="6F56267C"/>
    <w:rsid w:val="6FF858D3"/>
    <w:rsid w:val="7044184B"/>
    <w:rsid w:val="70464F12"/>
    <w:rsid w:val="708C6765"/>
    <w:rsid w:val="70DD40D0"/>
    <w:rsid w:val="712D31CF"/>
    <w:rsid w:val="718D2201"/>
    <w:rsid w:val="71B46363"/>
    <w:rsid w:val="71E157B0"/>
    <w:rsid w:val="72693796"/>
    <w:rsid w:val="73550573"/>
    <w:rsid w:val="73B70AA5"/>
    <w:rsid w:val="73D7583C"/>
    <w:rsid w:val="74106716"/>
    <w:rsid w:val="74412D23"/>
    <w:rsid w:val="74D22ECD"/>
    <w:rsid w:val="758672B5"/>
    <w:rsid w:val="76225FA7"/>
    <w:rsid w:val="76BD4052"/>
    <w:rsid w:val="76D27DBD"/>
    <w:rsid w:val="77226D47"/>
    <w:rsid w:val="772A42DA"/>
    <w:rsid w:val="773F3631"/>
    <w:rsid w:val="77F9775E"/>
    <w:rsid w:val="782A463F"/>
    <w:rsid w:val="784268D7"/>
    <w:rsid w:val="78EC1F30"/>
    <w:rsid w:val="78FC0AD4"/>
    <w:rsid w:val="79764DDF"/>
    <w:rsid w:val="7BB21A08"/>
    <w:rsid w:val="7C305674"/>
    <w:rsid w:val="7C3D12BE"/>
    <w:rsid w:val="7C584F4F"/>
    <w:rsid w:val="7C6A6979"/>
    <w:rsid w:val="7C9E11E7"/>
    <w:rsid w:val="7CC92FB9"/>
    <w:rsid w:val="7D341A05"/>
    <w:rsid w:val="7D52006B"/>
    <w:rsid w:val="7D5E5240"/>
    <w:rsid w:val="7D8A413A"/>
    <w:rsid w:val="7E3F2C7B"/>
    <w:rsid w:val="7ECF14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keepNext/>
      <w:keepLines/>
      <w:numPr>
        <w:ilvl w:val="0"/>
        <w:numId w:val="1"/>
      </w:numPr>
      <w:spacing w:before="120" w:after="120"/>
      <w:outlineLvl w:val="0"/>
    </w:pPr>
    <w:rPr>
      <w:b/>
      <w:bCs/>
      <w:kern w:val="44"/>
      <w:sz w:val="32"/>
      <w:szCs w:val="44"/>
    </w:rPr>
  </w:style>
  <w:style w:type="paragraph" w:styleId="3">
    <w:name w:val="heading 2"/>
    <w:basedOn w:val="1"/>
    <w:next w:val="1"/>
    <w:unhideWhenUsed/>
    <w:qFormat/>
    <w:uiPriority w:val="9"/>
    <w:pPr>
      <w:keepNext/>
      <w:keepLines/>
      <w:numPr>
        <w:ilvl w:val="1"/>
        <w:numId w:val="1"/>
      </w:numPr>
      <w:spacing w:beforeLines="50"/>
      <w:outlineLvl w:val="1"/>
    </w:pPr>
    <w:rPr>
      <w:b/>
      <w:bCs/>
      <w:sz w:val="28"/>
      <w:szCs w:val="32"/>
    </w:rPr>
  </w:style>
  <w:style w:type="paragraph" w:styleId="4">
    <w:name w:val="heading 3"/>
    <w:basedOn w:val="1"/>
    <w:next w:val="1"/>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7"/>
    <w:semiHidden/>
    <w:unhideWhenUsed/>
    <w:qFormat/>
    <w:uiPriority w:val="99"/>
    <w:pPr>
      <w:jc w:val="left"/>
    </w:pPr>
  </w:style>
  <w:style w:type="paragraph" w:styleId="6">
    <w:name w:val="Body Text"/>
    <w:basedOn w:val="1"/>
    <w:next w:val="7"/>
    <w:qFormat/>
    <w:uiPriority w:val="0"/>
    <w:pPr>
      <w:spacing w:after="120"/>
    </w:pPr>
    <w:rPr>
      <w:rFonts w:ascii="Verdana" w:hAnsi="Verdana"/>
    </w:rPr>
  </w:style>
  <w:style w:type="paragraph" w:customStyle="1" w:styleId="7">
    <w:name w:val="Default"/>
    <w:next w:val="1"/>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unhideWhenUsed/>
    <w:qFormat/>
    <w:uiPriority w:val="99"/>
    <w:pPr>
      <w:ind w:firstLine="420"/>
    </w:pPr>
  </w:style>
  <w:style w:type="paragraph" w:styleId="10">
    <w:name w:val="toc 3"/>
    <w:basedOn w:val="1"/>
    <w:next w:val="1"/>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unhideWhenUsed/>
    <w:qFormat/>
    <w:uiPriority w:val="99"/>
    <w:pPr>
      <w:ind w:left="100" w:leftChars="2500"/>
    </w:pPr>
  </w:style>
  <w:style w:type="paragraph" w:styleId="12">
    <w:name w:val="Body Text Indent 2"/>
    <w:basedOn w:val="1"/>
    <w:qFormat/>
    <w:uiPriority w:val="99"/>
    <w:pPr>
      <w:spacing w:line="360" w:lineRule="auto"/>
      <w:ind w:firstLine="480" w:firstLineChars="200"/>
      <w:jc w:val="left"/>
    </w:pPr>
    <w:rPr>
      <w:rFonts w:hAnsi="宋体"/>
      <w:sz w:val="24"/>
      <w:szCs w:val="21"/>
    </w:rPr>
  </w:style>
  <w:style w:type="paragraph" w:styleId="13">
    <w:name w:val="Balloon Text"/>
    <w:basedOn w:val="1"/>
    <w:qFormat/>
    <w:uiPriority w:val="0"/>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envelope return"/>
    <w:basedOn w:val="1"/>
    <w:unhideWhenUsed/>
    <w:qFormat/>
    <w:uiPriority w:val="99"/>
    <w:rPr>
      <w:rFonts w:ascii="Arial" w:hAnsi="Arial"/>
    </w:rPr>
  </w:style>
  <w:style w:type="paragraph" w:styleId="16">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b/>
    </w:rPr>
  </w:style>
  <w:style w:type="paragraph" w:styleId="18">
    <w:name w:val="toc 2"/>
    <w:basedOn w:val="1"/>
    <w:next w:val="1"/>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semiHidden/>
    <w:unhideWhenUsed/>
    <w:qFormat/>
    <w:uiPriority w:val="0"/>
    <w:rPr>
      <w:sz w:val="24"/>
    </w:rPr>
  </w:style>
  <w:style w:type="paragraph" w:styleId="20">
    <w:name w:val="Title"/>
    <w:basedOn w:val="1"/>
    <w:next w:val="1"/>
    <w:qFormat/>
    <w:uiPriority w:val="10"/>
    <w:pPr>
      <w:spacing w:before="240" w:after="60"/>
      <w:jc w:val="center"/>
      <w:outlineLvl w:val="0"/>
    </w:pPr>
    <w:rPr>
      <w:rFonts w:ascii="Cambria" w:hAnsi="Cambria"/>
      <w:b/>
      <w:bCs/>
      <w:sz w:val="32"/>
      <w:szCs w:val="32"/>
    </w:rPr>
  </w:style>
  <w:style w:type="paragraph" w:styleId="21">
    <w:name w:val="annotation subject"/>
    <w:basedOn w:val="5"/>
    <w:next w:val="5"/>
    <w:link w:val="58"/>
    <w:semiHidden/>
    <w:unhideWhenUsed/>
    <w:qFormat/>
    <w:uiPriority w:val="99"/>
    <w:rPr>
      <w:b/>
      <w:bCs/>
    </w:rPr>
  </w:style>
  <w:style w:type="character" w:styleId="24">
    <w:name w:val="Strong"/>
    <w:basedOn w:val="23"/>
    <w:qFormat/>
    <w:uiPriority w:val="99"/>
    <w:rPr>
      <w:rFonts w:cs="Times New Roman"/>
      <w:b/>
    </w:rPr>
  </w:style>
  <w:style w:type="character" w:styleId="25">
    <w:name w:val="FollowedHyperlink"/>
    <w:basedOn w:val="23"/>
    <w:unhideWhenUsed/>
    <w:qFormat/>
    <w:uiPriority w:val="99"/>
    <w:rPr>
      <w:rFonts w:hint="default" w:ascii="Arial" w:hAnsi="Arial" w:eastAsia="Arial" w:cs="Arial"/>
      <w:color w:val="333333"/>
      <w:sz w:val="21"/>
      <w:szCs w:val="21"/>
      <w:u w:val="none"/>
    </w:rPr>
  </w:style>
  <w:style w:type="character" w:styleId="26">
    <w:name w:val="Emphasis"/>
    <w:basedOn w:val="23"/>
    <w:qFormat/>
    <w:uiPriority w:val="20"/>
    <w:rPr>
      <w:i/>
      <w:iCs/>
    </w:rPr>
  </w:style>
  <w:style w:type="character" w:styleId="27">
    <w:name w:val="Hyperlink"/>
    <w:basedOn w:val="23"/>
    <w:unhideWhenUsed/>
    <w:qFormat/>
    <w:uiPriority w:val="99"/>
    <w:rPr>
      <w:rFonts w:ascii="Arial" w:hAnsi="Arial" w:eastAsia="Arial" w:cs="Arial"/>
      <w:color w:val="333333"/>
      <w:sz w:val="21"/>
      <w:szCs w:val="21"/>
      <w:u w:val="none"/>
    </w:rPr>
  </w:style>
  <w:style w:type="character" w:styleId="28">
    <w:name w:val="annotation reference"/>
    <w:basedOn w:val="23"/>
    <w:unhideWhenUsed/>
    <w:qFormat/>
    <w:uiPriority w:val="99"/>
    <w:rPr>
      <w:sz w:val="21"/>
      <w:szCs w:val="21"/>
    </w:rPr>
  </w:style>
  <w:style w:type="paragraph" w:customStyle="1" w:styleId="29">
    <w:name w:val="标准正文"/>
    <w:basedOn w:val="8"/>
    <w:qFormat/>
    <w:uiPriority w:val="0"/>
    <w:pPr>
      <w:adjustRightInd w:val="0"/>
      <w:snapToGrid w:val="0"/>
      <w:spacing w:line="360" w:lineRule="auto"/>
      <w:ind w:firstLine="560" w:firstLineChars="200"/>
    </w:pPr>
    <w:rPr>
      <w:sz w:val="24"/>
    </w:rPr>
  </w:style>
  <w:style w:type="paragraph" w:styleId="30">
    <w:name w:val="List Paragraph"/>
    <w:basedOn w:val="1"/>
    <w:qFormat/>
    <w:uiPriority w:val="34"/>
    <w:pPr>
      <w:ind w:firstLine="420" w:firstLineChars="200"/>
    </w:pPr>
    <w:rPr>
      <w:rFonts w:ascii="Calibri" w:hAnsi="Calibri"/>
      <w:szCs w:val="22"/>
    </w:rPr>
  </w:style>
  <w:style w:type="paragraph" w:customStyle="1" w:styleId="31">
    <w:name w:val="Fließtext"/>
    <w:basedOn w:val="1"/>
    <w:qFormat/>
    <w:uiPriority w:val="0"/>
    <w:pPr>
      <w:overflowPunct w:val="0"/>
      <w:autoSpaceDE w:val="0"/>
      <w:autoSpaceDN w:val="0"/>
      <w:adjustRightInd w:val="0"/>
    </w:pPr>
    <w:rPr>
      <w:kern w:val="28"/>
    </w:rPr>
  </w:style>
  <w:style w:type="character" w:customStyle="1" w:styleId="32">
    <w:name w:val="页脚 字符"/>
    <w:basedOn w:val="23"/>
    <w:link w:val="14"/>
    <w:semiHidden/>
    <w:qFormat/>
    <w:uiPriority w:val="99"/>
    <w:rPr>
      <w:rFonts w:ascii="Times New Roman" w:hAnsi="Times New Roman" w:eastAsia="宋体" w:cs="Times New Roman"/>
      <w:sz w:val="18"/>
      <w:szCs w:val="18"/>
    </w:rPr>
  </w:style>
  <w:style w:type="character" w:customStyle="1" w:styleId="33">
    <w:name w:val="hover53"/>
    <w:basedOn w:val="23"/>
    <w:qFormat/>
    <w:uiPriority w:val="0"/>
    <w:rPr>
      <w:color w:val="4285F4"/>
      <w:u w:val="none"/>
    </w:rPr>
  </w:style>
  <w:style w:type="character" w:customStyle="1" w:styleId="34">
    <w:name w:val="日期 字符"/>
    <w:basedOn w:val="23"/>
    <w:link w:val="11"/>
    <w:semiHidden/>
    <w:qFormat/>
    <w:uiPriority w:val="99"/>
    <w:rPr>
      <w:rFonts w:ascii="Times New Roman" w:hAnsi="Times New Roman"/>
      <w:kern w:val="2"/>
      <w:sz w:val="21"/>
      <w:szCs w:val="24"/>
    </w:rPr>
  </w:style>
  <w:style w:type="character" w:customStyle="1" w:styleId="35">
    <w:name w:val="hover56"/>
    <w:basedOn w:val="23"/>
    <w:qFormat/>
    <w:uiPriority w:val="0"/>
  </w:style>
  <w:style w:type="character" w:customStyle="1" w:styleId="36">
    <w:name w:val="active4"/>
    <w:basedOn w:val="23"/>
    <w:qFormat/>
    <w:uiPriority w:val="0"/>
    <w:rPr>
      <w:color w:val="4285F4"/>
      <w:bdr w:val="single" w:color="4285F4" w:sz="6" w:space="0"/>
    </w:rPr>
  </w:style>
  <w:style w:type="character" w:customStyle="1" w:styleId="37">
    <w:name w:val="before"/>
    <w:basedOn w:val="23"/>
    <w:qFormat/>
    <w:uiPriority w:val="0"/>
    <w:rPr>
      <w:bdr w:val="single" w:color="auto" w:sz="48" w:space="0"/>
    </w:rPr>
  </w:style>
  <w:style w:type="character" w:customStyle="1" w:styleId="38">
    <w:name w:val="页眉 字符"/>
    <w:basedOn w:val="23"/>
    <w:link w:val="16"/>
    <w:semiHidden/>
    <w:qFormat/>
    <w:uiPriority w:val="99"/>
    <w:rPr>
      <w:rFonts w:ascii="Times New Roman" w:hAnsi="Times New Roman" w:eastAsia="宋体" w:cs="Times New Roman"/>
      <w:sz w:val="18"/>
      <w:szCs w:val="18"/>
    </w:rPr>
  </w:style>
  <w:style w:type="character" w:customStyle="1" w:styleId="39">
    <w:name w:val="first-child"/>
    <w:basedOn w:val="23"/>
    <w:qFormat/>
    <w:uiPriority w:val="0"/>
  </w:style>
  <w:style w:type="character" w:customStyle="1" w:styleId="40">
    <w:name w:val="last-child1"/>
    <w:basedOn w:val="23"/>
    <w:qFormat/>
    <w:uiPriority w:val="0"/>
  </w:style>
  <w:style w:type="character" w:customStyle="1" w:styleId="41">
    <w:name w:val="hover52"/>
    <w:basedOn w:val="23"/>
    <w:qFormat/>
    <w:uiPriority w:val="0"/>
    <w:rPr>
      <w:color w:val="4285F4"/>
    </w:rPr>
  </w:style>
  <w:style w:type="character" w:customStyle="1" w:styleId="42">
    <w:name w:val="font01"/>
    <w:basedOn w:val="23"/>
    <w:qFormat/>
    <w:uiPriority w:val="0"/>
    <w:rPr>
      <w:rFonts w:ascii="Calibri" w:hAnsi="Calibri" w:cs="Calibri"/>
      <w:color w:val="000000"/>
      <w:sz w:val="22"/>
      <w:szCs w:val="22"/>
      <w:u w:val="none"/>
    </w:rPr>
  </w:style>
  <w:style w:type="character" w:customStyle="1" w:styleId="43">
    <w:name w:val="hover51"/>
    <w:basedOn w:val="23"/>
    <w:qFormat/>
    <w:uiPriority w:val="0"/>
    <w:rPr>
      <w:shd w:val="clear" w:color="auto" w:fill="346AC3"/>
    </w:rPr>
  </w:style>
  <w:style w:type="character" w:customStyle="1" w:styleId="44">
    <w:name w:val="after"/>
    <w:basedOn w:val="23"/>
    <w:qFormat/>
    <w:uiPriority w:val="0"/>
    <w:rPr>
      <w:bdr w:val="dashed" w:color="auto" w:sz="48" w:space="0"/>
    </w:rPr>
  </w:style>
  <w:style w:type="character" w:customStyle="1" w:styleId="45">
    <w:name w:val="hover54"/>
    <w:basedOn w:val="23"/>
    <w:qFormat/>
    <w:uiPriority w:val="0"/>
    <w:rPr>
      <w:color w:val="4285F4"/>
    </w:rPr>
  </w:style>
  <w:style w:type="character" w:customStyle="1" w:styleId="46">
    <w:name w:val="hover55"/>
    <w:basedOn w:val="23"/>
    <w:qFormat/>
    <w:uiPriority w:val="0"/>
    <w:rPr>
      <w:color w:val="1A85D7"/>
    </w:rPr>
  </w:style>
  <w:style w:type="character" w:customStyle="1" w:styleId="47">
    <w:name w:val="font21"/>
    <w:basedOn w:val="23"/>
    <w:qFormat/>
    <w:uiPriority w:val="0"/>
    <w:rPr>
      <w:rFonts w:hint="eastAsia" w:ascii="宋体" w:hAnsi="宋体" w:eastAsia="宋体" w:cs="宋体"/>
      <w:color w:val="000000"/>
      <w:sz w:val="28"/>
      <w:szCs w:val="28"/>
      <w:u w:val="none"/>
    </w:rPr>
  </w:style>
  <w:style w:type="character" w:customStyle="1" w:styleId="48">
    <w:name w:val="active"/>
    <w:basedOn w:val="23"/>
    <w:qFormat/>
    <w:uiPriority w:val="0"/>
    <w:rPr>
      <w:color w:val="4285F4"/>
      <w:bdr w:val="single" w:color="4285F4" w:sz="6" w:space="0"/>
    </w:rPr>
  </w:style>
  <w:style w:type="character" w:customStyle="1" w:styleId="49">
    <w:name w:val="font11"/>
    <w:basedOn w:val="23"/>
    <w:qFormat/>
    <w:uiPriority w:val="0"/>
    <w:rPr>
      <w:rFonts w:hint="eastAsia" w:ascii="宋体" w:hAnsi="宋体" w:eastAsia="宋体" w:cs="宋体"/>
      <w:color w:val="000000"/>
      <w:sz w:val="22"/>
      <w:szCs w:val="22"/>
      <w:u w:val="none"/>
    </w:rPr>
  </w:style>
  <w:style w:type="character" w:customStyle="1" w:styleId="50">
    <w:name w:val="credit"/>
    <w:basedOn w:val="23"/>
    <w:qFormat/>
    <w:uiPriority w:val="0"/>
    <w:rPr>
      <w:sz w:val="18"/>
      <w:szCs w:val="18"/>
    </w:rPr>
  </w:style>
  <w:style w:type="character" w:customStyle="1" w:styleId="51">
    <w:name w:val="hover41"/>
    <w:basedOn w:val="23"/>
    <w:qFormat/>
    <w:uiPriority w:val="0"/>
    <w:rPr>
      <w:shd w:val="clear" w:color="auto" w:fill="346AC3"/>
    </w:rPr>
  </w:style>
  <w:style w:type="character" w:customStyle="1" w:styleId="52">
    <w:name w:val="hover42"/>
    <w:basedOn w:val="23"/>
    <w:qFormat/>
    <w:uiPriority w:val="0"/>
    <w:rPr>
      <w:color w:val="4285F4"/>
    </w:rPr>
  </w:style>
  <w:style w:type="character" w:customStyle="1" w:styleId="53">
    <w:name w:val="hover43"/>
    <w:basedOn w:val="23"/>
    <w:qFormat/>
    <w:uiPriority w:val="0"/>
    <w:rPr>
      <w:color w:val="4285F4"/>
    </w:rPr>
  </w:style>
  <w:style w:type="character" w:customStyle="1" w:styleId="54">
    <w:name w:val="hover44"/>
    <w:basedOn w:val="23"/>
    <w:qFormat/>
    <w:uiPriority w:val="0"/>
    <w:rPr>
      <w:color w:val="4285F4"/>
      <w:u w:val="none"/>
    </w:rPr>
  </w:style>
  <w:style w:type="character" w:customStyle="1" w:styleId="55">
    <w:name w:val="hover45"/>
    <w:basedOn w:val="23"/>
    <w:qFormat/>
    <w:uiPriority w:val="0"/>
    <w:rPr>
      <w:color w:val="1A85D7"/>
    </w:rPr>
  </w:style>
  <w:style w:type="character" w:customStyle="1" w:styleId="56">
    <w:name w:val="hover46"/>
    <w:basedOn w:val="23"/>
    <w:qFormat/>
    <w:uiPriority w:val="0"/>
  </w:style>
  <w:style w:type="character" w:customStyle="1" w:styleId="57">
    <w:name w:val="批注文字 字符"/>
    <w:basedOn w:val="23"/>
    <w:link w:val="5"/>
    <w:semiHidden/>
    <w:qFormat/>
    <w:uiPriority w:val="99"/>
    <w:rPr>
      <w:kern w:val="2"/>
      <w:sz w:val="21"/>
      <w:szCs w:val="24"/>
    </w:rPr>
  </w:style>
  <w:style w:type="character" w:customStyle="1" w:styleId="58">
    <w:name w:val="批注主题 字符"/>
    <w:basedOn w:val="57"/>
    <w:link w:val="21"/>
    <w:semiHidden/>
    <w:qFormat/>
    <w:uiPriority w:val="99"/>
    <w:rPr>
      <w:b/>
      <w:bCs/>
      <w:kern w:val="2"/>
      <w:sz w:val="21"/>
      <w:szCs w:val="24"/>
    </w:rPr>
  </w:style>
  <w:style w:type="paragraph" w:customStyle="1" w:styleId="59">
    <w:name w:val="TOC 标题2"/>
    <w:basedOn w:val="2"/>
    <w:next w:val="1"/>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qFormat/>
    <w:uiPriority w:val="0"/>
    <w:pPr>
      <w:ind w:firstLine="200" w:firstLineChars="200"/>
    </w:pPr>
    <w:rPr>
      <w:szCs w:val="21"/>
    </w:rPr>
  </w:style>
  <w:style w:type="paragraph" w:customStyle="1" w:styleId="6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2"/>
    <w:qFormat/>
    <w:uiPriority w:val="9"/>
    <w:rPr>
      <w:rFonts w:ascii="Times New Roman" w:hAnsi="Times New Roman"/>
      <w:b/>
      <w:bCs/>
      <w:kern w:val="44"/>
      <w:sz w:val="32"/>
      <w:szCs w:val="44"/>
    </w:rPr>
  </w:style>
  <w:style w:type="paragraph" w:customStyle="1" w:styleId="64">
    <w:name w:val="列出段落1"/>
    <w:basedOn w:val="1"/>
    <w:qFormat/>
    <w:uiPriority w:val="34"/>
    <w:pPr>
      <w:ind w:firstLine="420" w:firstLineChars="200"/>
    </w:pPr>
  </w:style>
  <w:style w:type="paragraph" w:customStyle="1" w:styleId="65">
    <w:name w:val="表格文字"/>
    <w:basedOn w:val="1"/>
    <w:next w:val="6"/>
    <w:qFormat/>
    <w:uiPriority w:val="0"/>
    <w:pPr>
      <w:adjustRightInd w:val="0"/>
      <w:spacing w:line="420" w:lineRule="atLeast"/>
      <w:jc w:val="left"/>
      <w:textAlignment w:val="baseline"/>
    </w:pPr>
    <w:rPr>
      <w:kern w:val="0"/>
    </w:rPr>
  </w:style>
  <w:style w:type="paragraph" w:customStyle="1" w:styleId="66">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qFormat/>
    <w:uiPriority w:val="0"/>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6286</Words>
  <Characters>6467</Characters>
  <Lines>52</Lines>
  <Paragraphs>14</Paragraphs>
  <TotalTime>13</TotalTime>
  <ScaleCrop>false</ScaleCrop>
  <LinksUpToDate>false</LinksUpToDate>
  <CharactersWithSpaces>6736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李现</cp:lastModifiedBy>
  <cp:lastPrinted>2023-04-03T08:15:00Z</cp:lastPrinted>
  <dcterms:modified xsi:type="dcterms:W3CDTF">2025-08-28T07:22:14Z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31A7B2B16B33454880F7AE3AA29E91DE_13</vt:lpwstr>
  </property>
  <property fmtid="{D5CDD505-2E9C-101B-9397-08002B2CF9AE}" pid="4" name="KSOTemplateDocerSaveRecord">
    <vt:lpwstr>eyJoZGlkIjoiM2JjNzk2ZGQ2ZGNhODAyMTQ1YjU2MDJkYjk3NzdhMDQiLCJ1c2VySWQiOiIxNTE5MzU1Njc4In0=</vt:lpwstr>
  </property>
</Properties>
</file>