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914638">
      <w:pPr>
        <w:widowControl/>
        <w:spacing w:after="156" w:afterLines="50" w:line="420" w:lineRule="exact"/>
        <w:jc w:val="center"/>
        <w:rPr>
          <w:rFonts w:hint="eastAsia" w:eastAsia="仿宋_GB2312"/>
          <w:b/>
          <w:sz w:val="36"/>
          <w:szCs w:val="36"/>
        </w:rPr>
      </w:pPr>
      <w:r>
        <w:rPr>
          <w:rFonts w:hint="eastAsia" w:eastAsia="仿宋_GB2312"/>
          <w:b/>
          <w:sz w:val="36"/>
          <w:szCs w:val="36"/>
        </w:rPr>
        <w:t>询价标的报价信息清单</w:t>
      </w:r>
    </w:p>
    <w:tbl>
      <w:tblPr>
        <w:tblStyle w:val="6"/>
        <w:tblW w:w="383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5"/>
        <w:gridCol w:w="4605"/>
      </w:tblGrid>
      <w:tr w14:paraId="58DD4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atLeast"/>
          <w:jc w:val="center"/>
        </w:trPr>
        <w:tc>
          <w:tcPr>
            <w:tcW w:w="28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64753BD1">
            <w:pPr>
              <w:pStyle w:val="8"/>
              <w:widowControl/>
              <w:spacing w:line="360" w:lineRule="auto"/>
              <w:ind w:left="176" w:hanging="176" w:hangingChars="63"/>
              <w:jc w:val="center"/>
              <w:rPr>
                <w:rFonts w:hint="default" w:cs="楷体"/>
                <w:kern w:val="2"/>
                <w:sz w:val="28"/>
                <w:szCs w:val="28"/>
              </w:rPr>
            </w:pPr>
            <w:r>
              <w:rPr>
                <w:rFonts w:cs="楷体"/>
                <w:kern w:val="2"/>
                <w:sz w:val="28"/>
                <w:szCs w:val="28"/>
              </w:rPr>
              <w:t>套餐形式</w:t>
            </w:r>
          </w:p>
        </w:tc>
        <w:tc>
          <w:tcPr>
            <w:tcW w:w="211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475E2AE5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仿宋" w:hAnsi="仿宋" w:eastAsia="仿宋" w:cs="楷体"/>
                <w:sz w:val="28"/>
                <w:szCs w:val="28"/>
              </w:rPr>
            </w:pPr>
            <w:r>
              <w:rPr>
                <w:rFonts w:hint="eastAsia" w:ascii="仿宋" w:hAnsi="仿宋" w:eastAsia="仿宋" w:cs="楷体"/>
                <w:sz w:val="28"/>
                <w:szCs w:val="28"/>
                <w:lang w:bidi="ar"/>
              </w:rPr>
              <w:t>服务费（保留小数点后三位，&gt;0，单位：元/MWh）</w:t>
            </w:r>
          </w:p>
        </w:tc>
      </w:tr>
      <w:tr w14:paraId="0F662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3" w:hRule="atLeast"/>
          <w:jc w:val="center"/>
        </w:trPr>
        <w:tc>
          <w:tcPr>
            <w:tcW w:w="288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7B053FA0">
            <w:pPr>
              <w:pStyle w:val="8"/>
              <w:widowControl/>
              <w:spacing w:line="360" w:lineRule="auto"/>
              <w:jc w:val="center"/>
              <w:rPr>
                <w:rFonts w:hint="default" w:ascii="Times New Roman" w:cs="仿宋"/>
                <w:color w:val="000000"/>
              </w:rPr>
            </w:pPr>
            <w:r>
              <w:rPr>
                <w:rFonts w:hint="default" w:cs="楷体"/>
                <w:kern w:val="2"/>
                <w:sz w:val="28"/>
                <w:szCs w:val="28"/>
              </w:rPr>
              <w:t>市场均价+服务费</w:t>
            </w:r>
            <w:r>
              <w:rPr>
                <w:rFonts w:cs="楷体"/>
                <w:kern w:val="2"/>
                <w:sz w:val="28"/>
                <w:szCs w:val="28"/>
              </w:rPr>
              <w:t>（不分时）</w:t>
            </w:r>
          </w:p>
        </w:tc>
        <w:tc>
          <w:tcPr>
            <w:tcW w:w="2116" w:type="pc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 w14:paraId="0645DEA7">
            <w:pPr>
              <w:pStyle w:val="8"/>
              <w:widowControl/>
              <w:spacing w:line="360" w:lineRule="auto"/>
              <w:jc w:val="center"/>
              <w:rPr>
                <w:rFonts w:hint="default" w:cs="仿宋"/>
                <w:color w:val="000000"/>
                <w:sz w:val="24"/>
                <w:szCs w:val="24"/>
              </w:rPr>
            </w:pPr>
          </w:p>
        </w:tc>
      </w:tr>
    </w:tbl>
    <w:p w14:paraId="18FF384C">
      <w:pPr>
        <w:pStyle w:val="3"/>
      </w:pPr>
    </w:p>
    <w:tbl>
      <w:tblPr>
        <w:tblStyle w:val="6"/>
        <w:tblW w:w="2001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07"/>
        <w:gridCol w:w="2175"/>
        <w:gridCol w:w="4243"/>
        <w:gridCol w:w="3280"/>
        <w:gridCol w:w="2175"/>
        <w:gridCol w:w="4936"/>
      </w:tblGrid>
      <w:tr w14:paraId="1F75C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0F71E4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987C7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9A7B0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4D821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报价单位：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B3475F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47895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14:paraId="24025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20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DD66F8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AE68AD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A757FC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26203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日期：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FEAA7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4B162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50E00FBA">
      <w:pPr>
        <w:spacing w:line="420" w:lineRule="exact"/>
        <w:jc w:val="center"/>
        <w:rPr>
          <w:rFonts w:hint="eastAsia" w:ascii="黑体" w:hAnsi="宋体" w:eastAsia="黑体"/>
          <w:b/>
          <w:sz w:val="44"/>
          <w:szCs w:val="44"/>
        </w:rPr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p w14:paraId="2AA8F2D9">
      <w:pPr>
        <w:spacing w:line="600" w:lineRule="exact"/>
        <w:ind w:firstLine="880" w:firstLineChars="200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授权委托书</w:t>
      </w:r>
    </w:p>
    <w:p w14:paraId="589200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本人</w:t>
      </w:r>
      <w:r>
        <w:rPr>
          <w:rFonts w:hint="eastAsia" w:ascii="仿宋" w:hAnsi="仿宋" w:eastAsia="仿宋" w:cs="仿宋"/>
          <w:bCs/>
          <w:sz w:val="24"/>
          <w:u w:val="single"/>
        </w:rPr>
        <w:t>（法人姓名）（身份证号码）</w:t>
      </w:r>
      <w:r>
        <w:rPr>
          <w:rFonts w:hint="eastAsia" w:ascii="仿宋" w:hAnsi="仿宋" w:eastAsia="仿宋" w:cs="仿宋"/>
          <w:bCs/>
          <w:sz w:val="24"/>
        </w:rPr>
        <w:t>系</w:t>
      </w:r>
      <w:r>
        <w:rPr>
          <w:rFonts w:hint="eastAsia" w:ascii="仿宋" w:hAnsi="仿宋" w:eastAsia="仿宋" w:cs="仿宋"/>
          <w:bCs/>
          <w:sz w:val="24"/>
          <w:u w:val="single"/>
        </w:rPr>
        <w:t>（报价人单位全称）</w:t>
      </w:r>
      <w:r>
        <w:rPr>
          <w:rFonts w:hint="eastAsia" w:ascii="仿宋" w:hAnsi="仿宋" w:eastAsia="仿宋" w:cs="仿宋"/>
          <w:bCs/>
          <w:sz w:val="24"/>
        </w:rPr>
        <w:t>的法定代表人，现委托</w:t>
      </w:r>
      <w:r>
        <w:rPr>
          <w:rFonts w:hint="eastAsia" w:ascii="仿宋" w:hAnsi="仿宋" w:eastAsia="仿宋" w:cs="仿宋"/>
          <w:bCs/>
          <w:sz w:val="24"/>
          <w:u w:val="single"/>
        </w:rPr>
        <w:t>（代理人姓名）（身份证号码）</w:t>
      </w:r>
      <w:r>
        <w:rPr>
          <w:rFonts w:hint="eastAsia" w:ascii="仿宋" w:hAnsi="仿宋" w:eastAsia="仿宋" w:cs="仿宋"/>
          <w:bCs/>
          <w:sz w:val="24"/>
        </w:rPr>
        <w:t>为我方代理人，以我方名义签署、澄清、说明、补正、递交、撤回、修改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福州高新区水务科技有限公司 </w:t>
      </w:r>
      <w:r>
        <w:rPr>
          <w:rFonts w:hint="eastAsia" w:ascii="仿宋" w:hAnsi="仿宋" w:eastAsia="仿宋" w:cs="仿宋"/>
          <w:bCs/>
          <w:sz w:val="24"/>
        </w:rPr>
        <w:t>的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福州高新区水务科技有限公司福建省电力零售市场购售电服务  </w:t>
      </w:r>
      <w:r>
        <w:rPr>
          <w:rFonts w:hint="eastAsia" w:ascii="仿宋" w:hAnsi="仿宋" w:eastAsia="仿宋" w:cs="仿宋"/>
          <w:bCs/>
          <w:sz w:val="24"/>
        </w:rPr>
        <w:t>项目报价文件、签订合同和处理有关事宜，其法律后果由我方承担。</w:t>
      </w:r>
    </w:p>
    <w:p w14:paraId="57877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代理人无转委托权。</w:t>
      </w:r>
    </w:p>
    <w:p w14:paraId="0EC76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  <w:u w:val="single"/>
        </w:rPr>
      </w:pPr>
      <w:r>
        <w:rPr>
          <w:rFonts w:hint="eastAsia" w:ascii="仿宋" w:hAnsi="仿宋" w:eastAsia="仿宋" w:cs="仿宋"/>
          <w:bCs/>
          <w:sz w:val="24"/>
        </w:rPr>
        <w:t>代理人姓名：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bCs/>
          <w:sz w:val="24"/>
        </w:rPr>
        <w:t>性别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：        </w:t>
      </w:r>
      <w:r>
        <w:rPr>
          <w:rFonts w:hint="eastAsia" w:ascii="仿宋" w:hAnsi="仿宋" w:eastAsia="仿宋" w:cs="仿宋"/>
          <w:bCs/>
          <w:sz w:val="24"/>
        </w:rPr>
        <w:t>年龄：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</w:t>
      </w:r>
    </w:p>
    <w:p w14:paraId="24275E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身份证号码：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Cs/>
          <w:sz w:val="24"/>
        </w:rPr>
        <w:t>。</w:t>
      </w:r>
    </w:p>
    <w:p w14:paraId="76C770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代理人联系方式：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bCs/>
          <w:sz w:val="24"/>
        </w:rPr>
        <w:t>。</w:t>
      </w:r>
    </w:p>
    <w:p w14:paraId="27502D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textAlignment w:val="auto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授权期限：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24"/>
        </w:rPr>
        <w:t>年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24"/>
        </w:rPr>
        <w:t>月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24"/>
        </w:rPr>
        <w:t>日至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bCs/>
          <w:sz w:val="24"/>
        </w:rPr>
        <w:t>年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24"/>
        </w:rPr>
        <w:t>月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</w:t>
      </w:r>
      <w:r>
        <w:rPr>
          <w:rFonts w:hint="eastAsia" w:ascii="仿宋" w:hAnsi="仿宋" w:eastAsia="仿宋" w:cs="仿宋"/>
          <w:bCs/>
          <w:sz w:val="24"/>
        </w:rPr>
        <w:t>日</w:t>
      </w:r>
    </w:p>
    <w:p w14:paraId="360D532E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  <w:r>
        <w:rPr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236220</wp:posOffset>
                </wp:positionH>
                <wp:positionV relativeFrom="paragraph">
                  <wp:posOffset>63500</wp:posOffset>
                </wp:positionV>
                <wp:extent cx="5546725" cy="3764280"/>
                <wp:effectExtent l="6350" t="6350" r="9525" b="2032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6725" cy="3764280"/>
                          <a:chOff x="3104" y="58926"/>
                          <a:chExt cx="8735" cy="5928"/>
                        </a:xfrm>
                        <a:effectLst/>
                      </wpg:grpSpPr>
                      <wps:wsp>
                        <wps:cNvPr id="1" name="文本框 1"/>
                        <wps:cNvSpPr txBox="1"/>
                        <wps:spPr>
                          <a:xfrm>
                            <a:off x="3104" y="58928"/>
                            <a:ext cx="4371" cy="29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385D8A">
                                <a:shade val="50000"/>
                              </a:srgbClr>
                            </a:solidFill>
                            <a:prstDash val="dash"/>
                          </a:ln>
                          <a:effectLst/>
                        </wps:spPr>
                        <wps:txbx>
                          <w:txbxContent>
                            <w:p w14:paraId="0CD2C502">
                              <w:pPr>
                                <w:rPr>
                                  <w:b/>
                                  <w:sz w:val="2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000000"/>
                                  <w:sz w:val="24"/>
                                </w:rPr>
                                <w:t>委托人身份证正面复印件粘贴处：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2" name="文本框 2"/>
                        <wps:cNvSpPr txBox="1"/>
                        <wps:spPr>
                          <a:xfrm>
                            <a:off x="7469" y="58926"/>
                            <a:ext cx="4371" cy="297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385D8A">
                                <a:shade val="50000"/>
                              </a:srgbClr>
                            </a:solidFill>
                            <a:prstDash val="dash"/>
                          </a:ln>
                          <a:effectLst/>
                        </wps:spPr>
                        <wps:txbx>
                          <w:txbxContent>
                            <w:p w14:paraId="7B02FF38">
                              <w:pPr>
                                <w:rPr>
                                  <w:b/>
                                  <w:sz w:val="2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000000"/>
                                  <w:sz w:val="24"/>
                                </w:rPr>
                                <w:t>委托人身份证反面复印件粘贴处：</w:t>
                              </w:r>
                            </w:p>
                            <w:p w14:paraId="1E83F09D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3" name="文本框 3"/>
                        <wps:cNvSpPr txBox="1"/>
                        <wps:spPr>
                          <a:xfrm>
                            <a:off x="3112" y="61890"/>
                            <a:ext cx="4371" cy="2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385D8A">
                                <a:shade val="50000"/>
                              </a:srgbClr>
                            </a:solidFill>
                            <a:prstDash val="dash"/>
                          </a:ln>
                          <a:effectLst/>
                        </wps:spPr>
                        <wps:txbx>
                          <w:txbxContent>
                            <w:p w14:paraId="07640E4B">
                              <w:pPr>
                                <w:rPr>
                                  <w:b/>
                                  <w:sz w:val="2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000000"/>
                                  <w:sz w:val="24"/>
                                </w:rPr>
                                <w:t>代理人身份证正面复印件粘贴处：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wps:wsp>
                        <wps:cNvPr id="4" name="文本框 4"/>
                        <wps:cNvSpPr txBox="1"/>
                        <wps:spPr>
                          <a:xfrm>
                            <a:off x="7465" y="61886"/>
                            <a:ext cx="4371" cy="29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mpd="sng">
                            <a:solidFill>
                              <a:srgbClr val="385D8A">
                                <a:shade val="50000"/>
                              </a:srgbClr>
                            </a:solidFill>
                            <a:prstDash val="dash"/>
                          </a:ln>
                          <a:effectLst/>
                        </wps:spPr>
                        <wps:txbx>
                          <w:txbxContent>
                            <w:p w14:paraId="48375E94">
                              <w:pPr>
                                <w:rPr>
                                  <w:b/>
                                  <w:sz w:val="22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b/>
                                  <w:color w:val="000000"/>
                                  <w:sz w:val="24"/>
                                </w:rPr>
                                <w:t>代理人身份证反面复印件粘贴处：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18.6pt;margin-top:5pt;height:296.4pt;width:436.75pt;z-index:251659264;mso-width-relative:page;mso-height-relative:page;" coordorigin="3104,58926" coordsize="8735,5928" o:gfxdata="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">
                <o:lock v:ext="edit" aspectratio="f"/>
                <v:shape id="_x0000_s1026" o:spid="_x0000_s1026" o:spt="202" type="#_x0000_t202" style="position:absolute;left:3104;top:58928;height:2979;width:4371;" fillcolor="#FFFFFF" filled="t" stroked="t" coordsize="21600,21600" o:gfxdata="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wdg60ugAAANoA&#10;AAAPAAAAAAAAAAEAIAAAACIAAABkcnMvZG93bnJldi54bWxQSwECFAAUAAAACACHTuJAMy8FnjsA&#10;AAA5AAAAEAAAAAAAAAABACAAAAAJAQAAZHJzL3NoYXBleG1sLnhtbFBLBQYAAAAABgAGAFsBAACz&#10;AwAAAAA=&#10;">
                  <v:path/>
                  <v:fill on="t" focussize="0,0"/>
                  <v:stroke weight="1pt" color="#385D8A" joinstyle="round" dashstyle="dash"/>
                  <v:imagedata o:title=""/>
                  <o:lock v:ext="edit" aspectratio="f"/>
                  <v:textbox>
                    <w:txbxContent>
                      <w:p w14:paraId="0CD2C502">
                        <w:pPr>
                          <w:rPr>
                            <w:b/>
                            <w:sz w:val="22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color w:val="000000"/>
                            <w:sz w:val="24"/>
                          </w:rPr>
                          <w:t>委托人身份证正面复印件粘贴处：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469;top:58926;height:2979;width:4371;" fillcolor="#FFFFFF" filled="t" stroked="t" coordsize="21600,21600" o:gfxdata="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ApJDDvQAA&#10;ANoAAAAPAAAAAAAAAAEAIAAAACIAAABkcnMvZG93bnJldi54bWxQSwECFAAUAAAACACHTuJAMy8F&#10;njsAAAA5AAAAEAAAAAAAAAABACAAAAAMAQAAZHJzL3NoYXBleG1sLnhtbFBLBQYAAAAABgAGAFsB&#10;AAC2AwAAAAA=&#10;">
                  <v:path/>
                  <v:fill on="t" focussize="0,0"/>
                  <v:stroke weight="1pt" color="#385D8A" joinstyle="round" dashstyle="dash"/>
                  <v:imagedata o:title=""/>
                  <o:lock v:ext="edit" aspectratio="f"/>
                  <v:textbox>
                    <w:txbxContent>
                      <w:p w14:paraId="7B02FF38">
                        <w:pPr>
                          <w:rPr>
                            <w:b/>
                            <w:sz w:val="22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color w:val="000000"/>
                            <w:sz w:val="24"/>
                          </w:rPr>
                          <w:t>委托人身份证反面复印件粘贴处：</w:t>
                        </w:r>
                      </w:p>
                      <w:p w14:paraId="1E83F09D"/>
                    </w:txbxContent>
                  </v:textbox>
                </v:shape>
                <v:shape id="_x0000_s1026" o:spid="_x0000_s1026" o:spt="202" type="#_x0000_t202" style="position:absolute;left:3112;top:61890;height:2965;width:4371;" fillcolor="#FFFFFF" filled="t" stroked="t" coordsize="21600,21600" o:gfxdata="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/oNVi8AAAA&#10;2gAAAA8AAAAAAAAAAQAgAAAAIgAAAGRycy9kb3ducmV2LnhtbFBLAQIUABQAAAAIAIdO4kAzLwWe&#10;OwAAADkAAAAQAAAAAAAAAAEAIAAAAAsBAABkcnMvc2hhcGV4bWwueG1sUEsFBgAAAAAGAAYAWwEA&#10;ALUDAAAAAA==&#10;">
                  <v:path/>
                  <v:fill on="t" focussize="0,0"/>
                  <v:stroke weight="1pt" color="#385D8A" joinstyle="round" dashstyle="dash"/>
                  <v:imagedata o:title=""/>
                  <o:lock v:ext="edit" aspectratio="f"/>
                  <v:textbox>
                    <w:txbxContent>
                      <w:p w14:paraId="07640E4B">
                        <w:pPr>
                          <w:rPr>
                            <w:b/>
                            <w:sz w:val="22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color w:val="000000"/>
                            <w:sz w:val="24"/>
                          </w:rPr>
                          <w:t>代理人身份证正面复印件粘贴处：</w:t>
                        </w:r>
                      </w:p>
                    </w:txbxContent>
                  </v:textbox>
                </v:shape>
                <v:shape id="_x0000_s1026" o:spid="_x0000_s1026" o:spt="202" type="#_x0000_t202" style="position:absolute;left:7465;top:61886;height:2965;width:4371;" fillcolor="#FFFFFF" filled="t" stroked="t" coordsize="21600,21600" o:gfxdata="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ABrSy8AAAA&#10;2gAAAA8AAAAAAAAAAQAgAAAAIgAAAGRycy9kb3ducmV2LnhtbFBLAQIUABQAAAAIAIdO4kAzLwWe&#10;OwAAADkAAAAQAAAAAAAAAAEAIAAAAAsBAABkcnMvc2hhcGV4bWwueG1sUEsFBgAAAAAGAAYAWwEA&#10;ALUDAAAAAA==&#10;">
                  <v:path/>
                  <v:fill on="t" focussize="0,0"/>
                  <v:stroke weight="1pt" color="#385D8A" joinstyle="round" dashstyle="dash"/>
                  <v:imagedata o:title=""/>
                  <o:lock v:ext="edit" aspectratio="f"/>
                  <v:textbox>
                    <w:txbxContent>
                      <w:p w14:paraId="48375E94">
                        <w:pPr>
                          <w:rPr>
                            <w:b/>
                            <w:sz w:val="22"/>
                            <w:szCs w:val="21"/>
                          </w:rPr>
                        </w:pPr>
                        <w:r>
                          <w:rPr>
                            <w:rFonts w:hint="eastAsia" w:ascii="仿宋" w:hAnsi="仿宋" w:eastAsia="仿宋" w:cs="仿宋"/>
                            <w:b/>
                            <w:color w:val="000000"/>
                            <w:sz w:val="24"/>
                          </w:rPr>
                          <w:t>代理人身份证反面复印件粘贴处：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8CC1E82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053D63B1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665AC3B7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71F8AF62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0881E41E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6CABEDC3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001520EA">
      <w:pPr>
        <w:spacing w:line="600" w:lineRule="exact"/>
        <w:jc w:val="left"/>
        <w:rPr>
          <w:rFonts w:hint="eastAsia" w:ascii="仿宋" w:hAnsi="仿宋" w:eastAsia="仿宋" w:cs="仿宋"/>
          <w:bCs/>
          <w:sz w:val="24"/>
        </w:rPr>
      </w:pPr>
    </w:p>
    <w:p w14:paraId="5606C784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276F64F3">
      <w:pPr>
        <w:spacing w:line="600" w:lineRule="exact"/>
        <w:ind w:firstLine="480" w:firstLineChars="200"/>
        <w:jc w:val="left"/>
        <w:rPr>
          <w:rFonts w:hint="eastAsia" w:ascii="仿宋" w:hAnsi="仿宋" w:eastAsia="仿宋" w:cs="仿宋"/>
          <w:bCs/>
          <w:sz w:val="24"/>
        </w:rPr>
      </w:pPr>
    </w:p>
    <w:p w14:paraId="32D2F5B2">
      <w:pPr>
        <w:spacing w:line="600" w:lineRule="exact"/>
        <w:ind w:firstLine="480" w:firstLineChars="200"/>
        <w:jc w:val="righ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报价人：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        (盖报价人公章)</w:t>
      </w:r>
      <w:r>
        <w:rPr>
          <w:rFonts w:hint="eastAsia" w:ascii="仿宋" w:hAnsi="仿宋" w:eastAsia="仿宋" w:cs="仿宋"/>
          <w:bCs/>
          <w:sz w:val="24"/>
        </w:rPr>
        <w:t xml:space="preserve">  </w:t>
      </w:r>
    </w:p>
    <w:p w14:paraId="567AC37D">
      <w:pPr>
        <w:spacing w:line="600" w:lineRule="exact"/>
        <w:ind w:firstLine="480" w:firstLineChars="200"/>
        <w:jc w:val="righ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法定代表人：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          （签字或盖章）</w:t>
      </w:r>
      <w:r>
        <w:rPr>
          <w:rFonts w:hint="eastAsia" w:ascii="仿宋" w:hAnsi="仿宋" w:eastAsia="仿宋" w:cs="仿宋"/>
          <w:bCs/>
          <w:sz w:val="24"/>
        </w:rPr>
        <w:t xml:space="preserve">                 </w:t>
      </w:r>
    </w:p>
    <w:p w14:paraId="141895C2">
      <w:pPr>
        <w:spacing w:line="600" w:lineRule="exact"/>
        <w:ind w:firstLine="480" w:firstLineChars="200"/>
        <w:jc w:val="righ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委托代理人：</w:t>
      </w:r>
      <w:r>
        <w:rPr>
          <w:rFonts w:hint="eastAsia" w:ascii="仿宋" w:hAnsi="仿宋" w:eastAsia="仿宋" w:cs="仿宋"/>
          <w:bCs/>
          <w:sz w:val="24"/>
          <w:u w:val="single"/>
        </w:rPr>
        <w:t xml:space="preserve">                           （签字）</w:t>
      </w:r>
      <w:r>
        <w:rPr>
          <w:rFonts w:hint="eastAsia" w:ascii="仿宋" w:hAnsi="仿宋" w:eastAsia="仿宋" w:cs="仿宋"/>
          <w:bCs/>
          <w:sz w:val="24"/>
        </w:rPr>
        <w:t xml:space="preserve">                   </w:t>
      </w:r>
    </w:p>
    <w:p w14:paraId="3A8C5D1B">
      <w:pPr>
        <w:spacing w:line="600" w:lineRule="exact"/>
        <w:ind w:firstLine="480" w:firstLineChars="200"/>
        <w:jc w:val="right"/>
        <w:rPr>
          <w:rFonts w:hint="eastAsia"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 xml:space="preserve">     年    月    日 </w:t>
      </w:r>
    </w:p>
    <w:p w14:paraId="6ABF6F61">
      <w:pPr>
        <w:pStyle w:val="2"/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  </w:t>
      </w:r>
    </w:p>
    <w:p w14:paraId="0BB3508B">
      <w:pPr>
        <w:pStyle w:val="2"/>
      </w:pPr>
    </w:p>
    <w:p w14:paraId="5E99D6DF">
      <w:pPr>
        <w:pStyle w:val="2"/>
      </w:pPr>
    </w:p>
    <w:p w14:paraId="0C17C239">
      <w:pPr>
        <w:pStyle w:val="2"/>
        <w:spacing w:line="241" w:lineRule="auto"/>
      </w:pPr>
    </w:p>
    <w:p w14:paraId="12369E53">
      <w:pPr>
        <w:pStyle w:val="2"/>
        <w:spacing w:line="241" w:lineRule="auto"/>
      </w:pPr>
    </w:p>
    <w:p w14:paraId="44A4CEB5">
      <w:pPr>
        <w:pStyle w:val="2"/>
        <w:spacing w:line="241" w:lineRule="auto"/>
      </w:pPr>
    </w:p>
    <w:p w14:paraId="172B77CB">
      <w:pPr>
        <w:pStyle w:val="2"/>
        <w:spacing w:line="241" w:lineRule="auto"/>
      </w:pPr>
    </w:p>
    <w:p w14:paraId="5DABCE26">
      <w:pPr>
        <w:pStyle w:val="2"/>
        <w:spacing w:line="241" w:lineRule="auto"/>
      </w:pPr>
    </w:p>
    <w:p w14:paraId="252848F3">
      <w:pPr>
        <w:pStyle w:val="2"/>
        <w:spacing w:line="241" w:lineRule="auto"/>
      </w:pPr>
    </w:p>
    <w:p w14:paraId="3B5290E3">
      <w:pPr>
        <w:spacing w:before="202" w:line="215" w:lineRule="auto"/>
        <w:ind w:left="1254"/>
        <w:outlineLvl w:val="0"/>
        <w:rPr>
          <w:rFonts w:ascii="微软雅黑" w:hAnsi="微软雅黑" w:eastAsia="微软雅黑" w:cs="微软雅黑"/>
          <w:sz w:val="47"/>
          <w:szCs w:val="47"/>
        </w:rPr>
      </w:pPr>
      <w:r>
        <w:rPr>
          <w:rFonts w:ascii="微软雅黑" w:hAnsi="微软雅黑" w:eastAsia="微软雅黑" w:cs="微软雅黑"/>
          <w:b/>
          <w:bCs/>
          <w:spacing w:val="11"/>
          <w:sz w:val="47"/>
          <w:szCs w:val="47"/>
        </w:rPr>
        <w:t>福建省电力零售市场购售电合同</w:t>
      </w:r>
    </w:p>
    <w:p w14:paraId="7184C25F">
      <w:pPr>
        <w:pStyle w:val="2"/>
        <w:spacing w:line="245" w:lineRule="auto"/>
      </w:pPr>
    </w:p>
    <w:p w14:paraId="4390BF8B">
      <w:pPr>
        <w:pStyle w:val="2"/>
        <w:spacing w:line="245" w:lineRule="auto"/>
      </w:pPr>
    </w:p>
    <w:p w14:paraId="44E9D677">
      <w:pPr>
        <w:spacing w:before="184" w:line="211" w:lineRule="auto"/>
        <w:ind w:left="3245"/>
        <w:outlineLvl w:val="1"/>
        <w:rPr>
          <w:rFonts w:ascii="微软雅黑" w:hAnsi="微软雅黑" w:eastAsia="微软雅黑" w:cs="微软雅黑"/>
          <w:sz w:val="43"/>
          <w:szCs w:val="43"/>
        </w:rPr>
      </w:pPr>
    </w:p>
    <w:p w14:paraId="1A97A29A">
      <w:pPr>
        <w:spacing w:before="194" w:line="465" w:lineRule="exact"/>
        <w:ind w:left="2575"/>
        <w:rPr>
          <w:rFonts w:ascii="仿宋" w:hAnsi="仿宋" w:eastAsia="仿宋" w:cs="仿宋"/>
          <w:sz w:val="35"/>
          <w:szCs w:val="35"/>
        </w:rPr>
      </w:pPr>
      <w:r>
        <w:rPr>
          <w:rFonts w:ascii="仿宋" w:hAnsi="仿宋" w:eastAsia="仿宋" w:cs="仿宋"/>
          <w:spacing w:val="-11"/>
          <w:position w:val="2"/>
          <w:sz w:val="35"/>
          <w:szCs w:val="35"/>
        </w:rPr>
        <w:t>适用于电商化零售套餐交易</w:t>
      </w:r>
    </w:p>
    <w:p w14:paraId="0212ABC7">
      <w:pPr>
        <w:pStyle w:val="2"/>
        <w:spacing w:line="253" w:lineRule="auto"/>
      </w:pPr>
    </w:p>
    <w:p w14:paraId="4A7AB4DA">
      <w:pPr>
        <w:pStyle w:val="2"/>
        <w:spacing w:line="253" w:lineRule="auto"/>
      </w:pPr>
    </w:p>
    <w:p w14:paraId="26E32465">
      <w:pPr>
        <w:pStyle w:val="2"/>
        <w:spacing w:line="253" w:lineRule="auto"/>
      </w:pPr>
    </w:p>
    <w:p w14:paraId="4E99C12B">
      <w:pPr>
        <w:pStyle w:val="2"/>
        <w:spacing w:line="253" w:lineRule="auto"/>
      </w:pPr>
    </w:p>
    <w:p w14:paraId="16E77CB7">
      <w:pPr>
        <w:pStyle w:val="2"/>
        <w:spacing w:line="253" w:lineRule="auto"/>
      </w:pPr>
    </w:p>
    <w:p w14:paraId="37096368">
      <w:pPr>
        <w:pStyle w:val="2"/>
        <w:spacing w:line="253" w:lineRule="auto"/>
      </w:pPr>
    </w:p>
    <w:p w14:paraId="5D99B5AA">
      <w:pPr>
        <w:pStyle w:val="2"/>
        <w:spacing w:line="253" w:lineRule="auto"/>
      </w:pPr>
    </w:p>
    <w:p w14:paraId="6D74A917">
      <w:pPr>
        <w:pStyle w:val="2"/>
        <w:spacing w:line="253" w:lineRule="auto"/>
      </w:pPr>
    </w:p>
    <w:p w14:paraId="40F6FE12">
      <w:pPr>
        <w:pStyle w:val="2"/>
        <w:spacing w:line="254" w:lineRule="auto"/>
      </w:pPr>
    </w:p>
    <w:p w14:paraId="7C4DB8C6">
      <w:pPr>
        <w:pStyle w:val="2"/>
        <w:spacing w:line="254" w:lineRule="auto"/>
      </w:pPr>
    </w:p>
    <w:p w14:paraId="35A7CA49">
      <w:pPr>
        <w:pStyle w:val="2"/>
        <w:spacing w:line="254" w:lineRule="auto"/>
      </w:pPr>
    </w:p>
    <w:p w14:paraId="509276EF">
      <w:pPr>
        <w:pStyle w:val="2"/>
        <w:spacing w:line="254" w:lineRule="auto"/>
      </w:pPr>
    </w:p>
    <w:p w14:paraId="2C07A608">
      <w:pPr>
        <w:pStyle w:val="2"/>
        <w:spacing w:line="254" w:lineRule="auto"/>
      </w:pPr>
    </w:p>
    <w:p w14:paraId="759D74F2">
      <w:pPr>
        <w:pStyle w:val="2"/>
        <w:spacing w:line="254" w:lineRule="auto"/>
      </w:pPr>
    </w:p>
    <w:p w14:paraId="18E52A2C">
      <w:pPr>
        <w:pStyle w:val="2"/>
        <w:spacing w:line="254" w:lineRule="auto"/>
      </w:pPr>
    </w:p>
    <w:p w14:paraId="030CDC9B">
      <w:pPr>
        <w:spacing w:before="101" w:line="415" w:lineRule="exact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b/>
          <w:bCs/>
          <w:spacing w:val="-24"/>
          <w:position w:val="1"/>
          <w:sz w:val="31"/>
          <w:szCs w:val="31"/>
        </w:rPr>
        <w:t>甲方（电力用户</w:t>
      </w:r>
      <w:r>
        <w:rPr>
          <w:rFonts w:ascii="仿宋" w:hAnsi="仿宋" w:eastAsia="仿宋" w:cs="仿宋"/>
          <w:b/>
          <w:bCs/>
          <w:spacing w:val="-84"/>
          <w:w w:val="96"/>
          <w:position w:val="1"/>
          <w:sz w:val="31"/>
          <w:szCs w:val="31"/>
        </w:rPr>
        <w:t>）：</w:t>
      </w:r>
    </w:p>
    <w:p w14:paraId="2B86B3E8">
      <w:pPr>
        <w:pStyle w:val="2"/>
        <w:spacing w:line="242" w:lineRule="auto"/>
      </w:pPr>
    </w:p>
    <w:p w14:paraId="565E67B6">
      <w:pPr>
        <w:pStyle w:val="2"/>
        <w:spacing w:line="243" w:lineRule="auto"/>
      </w:pPr>
    </w:p>
    <w:p w14:paraId="0EB1D38A">
      <w:pPr>
        <w:pStyle w:val="2"/>
        <w:spacing w:line="243" w:lineRule="auto"/>
      </w:pPr>
    </w:p>
    <w:p w14:paraId="1892C935">
      <w:pPr>
        <w:spacing w:before="100" w:line="413" w:lineRule="exact"/>
        <w:ind w:left="5855" w:leftChars="309" w:hanging="5206" w:hangingChars="1800"/>
        <w:rPr>
          <w:rFonts w:hint="default" w:ascii="仿宋" w:hAnsi="仿宋" w:eastAsia="仿宋" w:cs="仿宋"/>
          <w:b/>
          <w:bCs/>
          <w:spacing w:val="-74"/>
          <w:position w:val="1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b/>
          <w:bCs/>
          <w:spacing w:val="-11"/>
          <w:position w:val="1"/>
          <w:sz w:val="31"/>
          <w:szCs w:val="31"/>
        </w:rPr>
        <w:t>乙方（售电公司</w:t>
      </w:r>
      <w:r>
        <w:rPr>
          <w:rFonts w:ascii="仿宋" w:hAnsi="仿宋" w:eastAsia="仿宋" w:cs="仿宋"/>
          <w:b/>
          <w:bCs/>
          <w:spacing w:val="-74"/>
          <w:position w:val="1"/>
          <w:sz w:val="31"/>
          <w:szCs w:val="31"/>
        </w:rPr>
        <w:t>）：</w:t>
      </w:r>
      <w:r>
        <w:rPr>
          <w:rFonts w:hint="eastAsia" w:ascii="仿宋" w:hAnsi="仿宋" w:eastAsia="仿宋" w:cs="仿宋"/>
          <w:b/>
          <w:bCs/>
          <w:spacing w:val="-11"/>
          <w:position w:val="1"/>
          <w:sz w:val="31"/>
          <w:szCs w:val="31"/>
          <w:lang w:val="en-US" w:eastAsia="zh-CN"/>
        </w:rPr>
        <w:t xml:space="preserve"> </w:t>
      </w:r>
    </w:p>
    <w:p w14:paraId="37D70256">
      <w:pPr>
        <w:spacing w:before="100" w:line="413" w:lineRule="exact"/>
        <w:ind w:left="650"/>
        <w:rPr>
          <w:rFonts w:hint="eastAsia" w:ascii="仿宋" w:hAnsi="仿宋" w:eastAsia="仿宋" w:cs="仿宋"/>
          <w:b/>
          <w:bCs/>
          <w:spacing w:val="-74"/>
          <w:position w:val="1"/>
          <w:sz w:val="31"/>
          <w:szCs w:val="31"/>
          <w:lang w:val="en-US" w:eastAsia="zh-CN"/>
        </w:rPr>
      </w:pPr>
    </w:p>
    <w:p w14:paraId="781A48B6">
      <w:pPr>
        <w:spacing w:line="413" w:lineRule="exact"/>
        <w:rPr>
          <w:rFonts w:ascii="仿宋" w:hAnsi="仿宋" w:eastAsia="仿宋" w:cs="仿宋"/>
          <w:sz w:val="31"/>
          <w:szCs w:val="31"/>
        </w:rPr>
        <w:sectPr>
          <w:footerReference r:id="rId3" w:type="default"/>
          <w:pgSz w:w="11906" w:h="16839"/>
          <w:pgMar w:top="1431" w:right="1785" w:bottom="1559" w:left="1357" w:header="0" w:footer="1195" w:gutter="0"/>
          <w:pgNumType w:fmt="decimal"/>
          <w:cols w:space="720" w:num="1"/>
        </w:sectPr>
      </w:pPr>
    </w:p>
    <w:p w14:paraId="3AF83682">
      <w:pPr>
        <w:pStyle w:val="2"/>
        <w:spacing w:line="457" w:lineRule="auto"/>
      </w:pPr>
    </w:p>
    <w:p w14:paraId="4A450EA7">
      <w:pPr>
        <w:spacing w:before="101" w:line="414" w:lineRule="exact"/>
        <w:ind w:left="398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1"/>
          <w:sz w:val="31"/>
          <w:szCs w:val="31"/>
        </w:rPr>
        <w:t>使用说明</w:t>
      </w:r>
    </w:p>
    <w:p w14:paraId="3D6EDF79">
      <w:pPr>
        <w:spacing w:before="168" w:line="329" w:lineRule="auto"/>
        <w:ind w:left="26" w:firstLine="66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4"/>
          <w:sz w:val="31"/>
          <w:szCs w:val="31"/>
        </w:rPr>
        <w:t>1.本合同适用于符合准入要求的售电公司（或虚拟电厂运营</w:t>
      </w:r>
      <w:r>
        <w:rPr>
          <w:rFonts w:ascii="仿宋" w:hAnsi="仿宋" w:eastAsia="仿宋" w:cs="仿宋"/>
          <w:spacing w:val="3"/>
          <w:sz w:val="31"/>
          <w:szCs w:val="31"/>
        </w:rPr>
        <w:t>商，下同）与电力用户通过福建电力零售交易平台（电力交易平台</w:t>
      </w:r>
      <w:r>
        <w:rPr>
          <w:rFonts w:ascii="仿宋" w:hAnsi="仿宋" w:eastAsia="仿宋" w:cs="仿宋"/>
          <w:spacing w:val="6"/>
          <w:sz w:val="31"/>
          <w:szCs w:val="31"/>
        </w:rPr>
        <w:t>和“e-交易”</w:t>
      </w:r>
      <w:r>
        <w:rPr>
          <w:rFonts w:ascii="仿宋" w:hAnsi="仿宋" w:eastAsia="仿宋" w:cs="仿宋"/>
          <w:sz w:val="31"/>
          <w:szCs w:val="31"/>
        </w:rPr>
        <w:t>App</w:t>
      </w:r>
      <w:r>
        <w:rPr>
          <w:rFonts w:ascii="仿宋" w:hAnsi="仿宋" w:eastAsia="仿宋" w:cs="仿宋"/>
          <w:spacing w:val="6"/>
          <w:sz w:val="31"/>
          <w:szCs w:val="31"/>
        </w:rPr>
        <w:t>）开展的零售套餐交易，明确了双</w:t>
      </w:r>
      <w:r>
        <w:rPr>
          <w:rFonts w:ascii="仿宋" w:hAnsi="仿宋" w:eastAsia="仿宋" w:cs="仿宋"/>
          <w:spacing w:val="5"/>
          <w:sz w:val="31"/>
          <w:szCs w:val="31"/>
        </w:rPr>
        <w:t>方的权利义务、</w:t>
      </w:r>
      <w:r>
        <w:rPr>
          <w:rFonts w:ascii="仿宋" w:hAnsi="仿宋" w:eastAsia="仿宋" w:cs="仿宋"/>
          <w:spacing w:val="7"/>
          <w:sz w:val="31"/>
          <w:szCs w:val="31"/>
        </w:rPr>
        <w:t>零售套餐、零售结算方式以及合同变更解除等条款。本合同</w:t>
      </w:r>
      <w:r>
        <w:rPr>
          <w:rFonts w:ascii="仿宋" w:hAnsi="仿宋" w:eastAsia="仿宋" w:cs="仿宋"/>
          <w:spacing w:val="6"/>
          <w:sz w:val="31"/>
          <w:szCs w:val="31"/>
        </w:rPr>
        <w:t>中所有</w:t>
      </w:r>
      <w:r>
        <w:rPr>
          <w:rFonts w:ascii="仿宋" w:hAnsi="仿宋" w:eastAsia="仿宋" w:cs="仿宋"/>
          <w:spacing w:val="7"/>
          <w:sz w:val="31"/>
          <w:szCs w:val="31"/>
        </w:rPr>
        <w:t>电力市场专业名词，除另有约定外，均与《福建电力</w:t>
      </w:r>
      <w:r>
        <w:rPr>
          <w:rFonts w:ascii="仿宋" w:hAnsi="仿宋" w:eastAsia="仿宋" w:cs="仿宋"/>
          <w:spacing w:val="6"/>
          <w:sz w:val="31"/>
          <w:szCs w:val="31"/>
        </w:rPr>
        <w:t>市场零售交易</w:t>
      </w:r>
      <w:r>
        <w:rPr>
          <w:rFonts w:ascii="仿宋" w:hAnsi="仿宋" w:eastAsia="仿宋" w:cs="仿宋"/>
          <w:spacing w:val="1"/>
          <w:sz w:val="31"/>
          <w:szCs w:val="31"/>
        </w:rPr>
        <w:t>实施细则（试行）》及相关市场规则中的定义一致。</w:t>
      </w:r>
    </w:p>
    <w:p w14:paraId="0391837E">
      <w:pPr>
        <w:spacing w:before="148" w:line="312" w:lineRule="auto"/>
        <w:ind w:left="28" w:right="122" w:firstLine="64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2.零售合同统一采用电子合同方式签订，与纸质合同具备同等</w:t>
      </w:r>
      <w:r>
        <w:rPr>
          <w:rFonts w:ascii="仿宋" w:hAnsi="仿宋" w:eastAsia="仿宋" w:cs="仿宋"/>
          <w:spacing w:val="7"/>
          <w:sz w:val="31"/>
          <w:szCs w:val="31"/>
        </w:rPr>
        <w:t>效力，电子合同签订要素为零售套餐交易结果，由</w:t>
      </w:r>
      <w:r>
        <w:rPr>
          <w:rFonts w:ascii="仿宋" w:hAnsi="仿宋" w:eastAsia="仿宋" w:cs="仿宋"/>
          <w:spacing w:val="6"/>
          <w:sz w:val="31"/>
          <w:szCs w:val="31"/>
        </w:rPr>
        <w:t>交易双方、交易</w:t>
      </w:r>
      <w:r>
        <w:rPr>
          <w:rFonts w:ascii="仿宋" w:hAnsi="仿宋" w:eastAsia="仿宋" w:cs="仿宋"/>
          <w:spacing w:val="7"/>
          <w:sz w:val="31"/>
          <w:szCs w:val="31"/>
        </w:rPr>
        <w:t>履约周期、零售套餐参数等构成。本合同通过福建</w:t>
      </w:r>
      <w:r>
        <w:rPr>
          <w:rFonts w:ascii="仿宋" w:hAnsi="仿宋" w:eastAsia="仿宋" w:cs="仿宋"/>
          <w:spacing w:val="6"/>
          <w:sz w:val="31"/>
          <w:szCs w:val="31"/>
        </w:rPr>
        <w:t>电力零售交易平</w:t>
      </w:r>
      <w:r>
        <w:rPr>
          <w:rFonts w:ascii="仿宋" w:hAnsi="仿宋" w:eastAsia="仿宋" w:cs="仿宋"/>
          <w:spacing w:val="7"/>
          <w:sz w:val="31"/>
          <w:szCs w:val="31"/>
        </w:rPr>
        <w:t>台下载以供合同双方参考使用。</w:t>
      </w:r>
    </w:p>
    <w:p w14:paraId="4FE66CD8">
      <w:pPr>
        <w:spacing w:before="148" w:line="304" w:lineRule="auto"/>
        <w:ind w:right="122" w:firstLine="66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3.合同双方应妥善保管线上签约过程中使用的身份认证要素</w:t>
      </w:r>
      <w:r>
        <w:rPr>
          <w:rFonts w:ascii="仿宋" w:hAnsi="仿宋" w:eastAsia="仿宋" w:cs="仿宋"/>
          <w:spacing w:val="12"/>
          <w:sz w:val="31"/>
          <w:szCs w:val="31"/>
        </w:rPr>
        <w:t>（包括但不限于账号、密码、电子营业执照、短信验证码等</w:t>
      </w:r>
      <w:r>
        <w:rPr>
          <w:rFonts w:ascii="仿宋" w:hAnsi="仿宋" w:eastAsia="仿宋" w:cs="仿宋"/>
          <w:spacing w:val="-50"/>
          <w:sz w:val="31"/>
          <w:szCs w:val="31"/>
        </w:rPr>
        <w:t>），</w:t>
      </w:r>
      <w:r>
        <w:rPr>
          <w:rFonts w:ascii="仿宋" w:hAnsi="仿宋" w:eastAsia="仿宋" w:cs="仿宋"/>
          <w:spacing w:val="12"/>
          <w:sz w:val="31"/>
          <w:szCs w:val="31"/>
        </w:rPr>
        <w:t>勿</w:t>
      </w:r>
      <w:r>
        <w:rPr>
          <w:rFonts w:ascii="仿宋" w:hAnsi="仿宋" w:eastAsia="仿宋" w:cs="仿宋"/>
          <w:spacing w:val="7"/>
          <w:sz w:val="31"/>
          <w:szCs w:val="31"/>
        </w:rPr>
        <w:t>向第三方提供，自愿承担未妥善保管导致的</w:t>
      </w:r>
      <w:r>
        <w:rPr>
          <w:rFonts w:ascii="仿宋" w:hAnsi="仿宋" w:eastAsia="仿宋" w:cs="仿宋"/>
          <w:spacing w:val="6"/>
          <w:sz w:val="31"/>
          <w:szCs w:val="31"/>
        </w:rPr>
        <w:t>一切风险及后果。</w:t>
      </w:r>
    </w:p>
    <w:p w14:paraId="49DF0021">
      <w:pPr>
        <w:spacing w:before="144" w:line="305" w:lineRule="auto"/>
        <w:ind w:left="28" w:right="125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4.因市场规则调整变更，导致本合同与法律法规、国家或福建</w:t>
      </w:r>
      <w:r>
        <w:rPr>
          <w:rFonts w:ascii="仿宋" w:hAnsi="仿宋" w:eastAsia="仿宋" w:cs="仿宋"/>
          <w:spacing w:val="7"/>
          <w:sz w:val="31"/>
          <w:szCs w:val="31"/>
        </w:rPr>
        <w:t>省有关政策要求不符合、不兼容的，合同双方应规</w:t>
      </w:r>
      <w:r>
        <w:rPr>
          <w:rFonts w:ascii="仿宋" w:hAnsi="仿宋" w:eastAsia="仿宋" w:cs="仿宋"/>
          <w:spacing w:val="6"/>
          <w:sz w:val="31"/>
          <w:szCs w:val="31"/>
        </w:rPr>
        <w:t>定时间内完成本</w:t>
      </w:r>
      <w:r>
        <w:rPr>
          <w:rFonts w:ascii="仿宋" w:hAnsi="仿宋" w:eastAsia="仿宋" w:cs="仿宋"/>
          <w:spacing w:val="5"/>
          <w:sz w:val="31"/>
          <w:szCs w:val="31"/>
        </w:rPr>
        <w:t>合同信息变更。</w:t>
      </w:r>
    </w:p>
    <w:p w14:paraId="499488EB">
      <w:pPr>
        <w:spacing w:before="165" w:line="312" w:lineRule="auto"/>
        <w:ind w:left="20" w:right="122" w:firstLine="65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5.对于上述使用说明的内容，合同双方均已认真阅读、完全理</w:t>
      </w:r>
      <w:r>
        <w:rPr>
          <w:rFonts w:ascii="仿宋" w:hAnsi="仿宋" w:eastAsia="仿宋" w:cs="仿宋"/>
          <w:spacing w:val="7"/>
          <w:sz w:val="31"/>
          <w:szCs w:val="31"/>
        </w:rPr>
        <w:t>解并同意，合同双方协商一致使用该合同，即视为知悉并同意上述使用说明的全部内容。</w:t>
      </w:r>
    </w:p>
    <w:p w14:paraId="45361BDA">
      <w:pPr>
        <w:spacing w:line="312" w:lineRule="auto"/>
        <w:rPr>
          <w:rFonts w:ascii="仿宋" w:hAnsi="仿宋" w:eastAsia="仿宋" w:cs="仿宋"/>
          <w:sz w:val="31"/>
          <w:szCs w:val="31"/>
        </w:rPr>
        <w:sectPr>
          <w:footerReference r:id="rId4" w:type="default"/>
          <w:pgSz w:w="11906" w:h="16839"/>
          <w:pgMar w:top="1431" w:right="1225" w:bottom="1559" w:left="1339" w:header="0" w:footer="1195" w:gutter="0"/>
          <w:pgNumType w:fmt="decimal"/>
          <w:cols w:space="720" w:num="1"/>
        </w:sectPr>
      </w:pPr>
    </w:p>
    <w:p w14:paraId="6BD839E8">
      <w:pPr>
        <w:spacing w:before="71" w:line="415" w:lineRule="exact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position w:val="1"/>
          <w:sz w:val="31"/>
          <w:szCs w:val="31"/>
        </w:rPr>
        <w:t>本合同由以下双方共同签订：</w:t>
      </w:r>
    </w:p>
    <w:p w14:paraId="64365C9B">
      <w:pPr>
        <w:spacing w:before="162" w:line="326" w:lineRule="auto"/>
        <w:ind w:left="12" w:right="27" w:firstLine="61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（1）甲方</w:t>
      </w:r>
      <w:r>
        <w:rPr>
          <w:rFonts w:ascii="仿宋" w:hAnsi="仿宋" w:eastAsia="仿宋" w:cs="仿宋"/>
          <w:spacing w:val="8"/>
          <w:sz w:val="31"/>
          <w:szCs w:val="31"/>
        </w:rPr>
        <w:t>：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      </w:t>
      </w:r>
      <w:r>
        <w:rPr>
          <w:rFonts w:hint="eastAsia" w:ascii="仿宋" w:hAnsi="仿宋" w:eastAsia="仿宋" w:cs="仿宋"/>
          <w:spacing w:val="6"/>
          <w:sz w:val="31"/>
          <w:szCs w:val="31"/>
          <w:u w:val="single" w:color="auto"/>
          <w:lang w:val="en-US" w:eastAsia="zh-CN"/>
        </w:rPr>
        <w:t xml:space="preserve">                 </w:t>
      </w:r>
      <w:r>
        <w:rPr>
          <w:rFonts w:ascii="仿宋" w:hAnsi="仿宋" w:eastAsia="仿宋" w:cs="仿宋"/>
          <w:spacing w:val="6"/>
          <w:sz w:val="31"/>
          <w:szCs w:val="31"/>
          <w:u w:val="single" w:color="auto"/>
        </w:rPr>
        <w:t xml:space="preserve">       </w:t>
      </w:r>
      <w:r>
        <w:rPr>
          <w:rFonts w:ascii="仿宋" w:hAnsi="仿宋" w:eastAsia="仿宋" w:cs="仿宋"/>
          <w:spacing w:val="8"/>
          <w:sz w:val="31"/>
          <w:szCs w:val="31"/>
        </w:rPr>
        <w:t>，</w:t>
      </w:r>
      <w:r>
        <w:rPr>
          <w:rFonts w:ascii="仿宋" w:hAnsi="仿宋" w:eastAsia="仿宋" w:cs="仿宋"/>
          <w:spacing w:val="6"/>
          <w:sz w:val="31"/>
          <w:szCs w:val="31"/>
        </w:rPr>
        <w:t>系一家已在福建电力交易中</w:t>
      </w:r>
      <w:r>
        <w:rPr>
          <w:rFonts w:ascii="仿宋" w:hAnsi="仿宋" w:eastAsia="仿宋" w:cs="仿宋"/>
          <w:spacing w:val="7"/>
          <w:sz w:val="31"/>
          <w:szCs w:val="31"/>
        </w:rPr>
        <w:t>心电力零售交易平台注册公示通过、选择电商</w:t>
      </w:r>
      <w:r>
        <w:rPr>
          <w:rFonts w:ascii="仿宋" w:hAnsi="仿宋" w:eastAsia="仿宋" w:cs="仿宋"/>
          <w:spacing w:val="6"/>
          <w:sz w:val="31"/>
          <w:szCs w:val="31"/>
        </w:rPr>
        <w:t>化零售套餐交易的电</w:t>
      </w:r>
      <w:r>
        <w:rPr>
          <w:rFonts w:ascii="仿宋" w:hAnsi="仿宋" w:eastAsia="仿宋" w:cs="仿宋"/>
          <w:spacing w:val="7"/>
          <w:sz w:val="31"/>
          <w:szCs w:val="31"/>
        </w:rPr>
        <w:t>力用户，企业工商注册所在地、统一社会信用代码</w:t>
      </w:r>
      <w:r>
        <w:rPr>
          <w:rFonts w:ascii="仿宋" w:hAnsi="仿宋" w:eastAsia="仿宋" w:cs="仿宋"/>
          <w:spacing w:val="6"/>
          <w:sz w:val="31"/>
          <w:szCs w:val="31"/>
        </w:rPr>
        <w:t>、法定代表人等</w:t>
      </w:r>
      <w:r>
        <w:rPr>
          <w:rFonts w:ascii="仿宋" w:hAnsi="仿宋" w:eastAsia="仿宋" w:cs="仿宋"/>
          <w:spacing w:val="18"/>
          <w:sz w:val="31"/>
          <w:szCs w:val="31"/>
        </w:rPr>
        <w:t>企业相关信息及联络方式均以甲方在电力零售交易平台的注册信</w:t>
      </w:r>
      <w:r>
        <w:rPr>
          <w:rFonts w:ascii="仿宋" w:hAnsi="仿宋" w:eastAsia="仿宋" w:cs="仿宋"/>
          <w:spacing w:val="2"/>
          <w:sz w:val="31"/>
          <w:szCs w:val="31"/>
        </w:rPr>
        <w:t>息为准。</w:t>
      </w:r>
    </w:p>
    <w:p w14:paraId="77B1A9A6">
      <w:pPr>
        <w:spacing w:before="168" w:line="325" w:lineRule="auto"/>
        <w:ind w:left="5" w:right="27" w:firstLine="617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"/>
          <w:sz w:val="31"/>
          <w:szCs w:val="31"/>
        </w:rPr>
        <w:t>（2）乙方</w:t>
      </w:r>
      <w:r>
        <w:rPr>
          <w:rFonts w:ascii="仿宋" w:hAnsi="仿宋" w:eastAsia="仿宋" w:cs="仿宋"/>
          <w:spacing w:val="12"/>
          <w:sz w:val="31"/>
          <w:szCs w:val="31"/>
        </w:rPr>
        <w:t>：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</w:t>
      </w:r>
      <w:r>
        <w:rPr>
          <w:rFonts w:hint="eastAsia" w:ascii="仿宋" w:hAnsi="仿宋" w:eastAsia="仿宋" w:cs="仿宋"/>
          <w:spacing w:val="4"/>
          <w:sz w:val="31"/>
          <w:szCs w:val="31"/>
          <w:u w:val="single" w:color="auto"/>
          <w:lang w:eastAsia="zh-CN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  <w:u w:val="single" w:color="auto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，</w:t>
      </w:r>
      <w:r>
        <w:rPr>
          <w:rFonts w:ascii="仿宋" w:hAnsi="仿宋" w:eastAsia="仿宋" w:cs="仿宋"/>
          <w:spacing w:val="-1"/>
          <w:sz w:val="31"/>
          <w:szCs w:val="31"/>
        </w:rPr>
        <w:t>系一家具有法人资格/经法人</w:t>
      </w:r>
      <w:r>
        <w:rPr>
          <w:rFonts w:ascii="仿宋" w:hAnsi="仿宋" w:eastAsia="仿宋" w:cs="仿宋"/>
          <w:spacing w:val="7"/>
          <w:sz w:val="31"/>
          <w:szCs w:val="31"/>
        </w:rPr>
        <w:t>单位授权的售电公司，已在福建电力交易中心电力交易平台注</w:t>
      </w:r>
      <w:r>
        <w:rPr>
          <w:rFonts w:ascii="仿宋" w:hAnsi="仿宋" w:eastAsia="仿宋" w:cs="仿宋"/>
          <w:spacing w:val="6"/>
          <w:sz w:val="31"/>
          <w:szCs w:val="31"/>
        </w:rPr>
        <w:t>册公</w:t>
      </w:r>
      <w:r>
        <w:rPr>
          <w:rFonts w:ascii="仿宋" w:hAnsi="仿宋" w:eastAsia="仿宋" w:cs="仿宋"/>
          <w:spacing w:val="7"/>
          <w:sz w:val="31"/>
          <w:szCs w:val="31"/>
        </w:rPr>
        <w:t>示通过，并按规定足额缴交履约保函（保险</w:t>
      </w:r>
      <w:r>
        <w:rPr>
          <w:rFonts w:ascii="仿宋" w:hAnsi="仿宋" w:eastAsia="仿宋" w:cs="仿宋"/>
          <w:spacing w:val="6"/>
          <w:sz w:val="31"/>
          <w:szCs w:val="31"/>
        </w:rPr>
        <w:t>），</w:t>
      </w:r>
      <w:r>
        <w:rPr>
          <w:rFonts w:ascii="仿宋" w:hAnsi="仿宋" w:eastAsia="仿宋" w:cs="仿宋"/>
          <w:spacing w:val="7"/>
          <w:sz w:val="31"/>
          <w:szCs w:val="31"/>
        </w:rPr>
        <w:t>企业工商注册所在地、统一社会信用代码、法定代表人等企业相关信息及联络方式均</w:t>
      </w:r>
      <w:r>
        <w:rPr>
          <w:rFonts w:ascii="仿宋" w:hAnsi="仿宋" w:eastAsia="仿宋" w:cs="仿宋"/>
          <w:spacing w:val="8"/>
          <w:sz w:val="31"/>
          <w:szCs w:val="31"/>
        </w:rPr>
        <w:t>以乙方在电力交易平台的注册信息为准。</w:t>
      </w:r>
    </w:p>
    <w:p w14:paraId="274A0D44">
      <w:pPr>
        <w:spacing w:before="163" w:line="416" w:lineRule="exact"/>
        <w:ind w:left="3331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position w:val="1"/>
          <w:sz w:val="31"/>
          <w:szCs w:val="31"/>
        </w:rPr>
        <w:t>第一章  基本陈述</w:t>
      </w:r>
    </w:p>
    <w:p w14:paraId="3ADD0625">
      <w:pPr>
        <w:spacing w:before="171" w:line="320" w:lineRule="auto"/>
        <w:ind w:left="7" w:right="18"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第一条 为规范电力零售市场交易行为，保障合</w:t>
      </w:r>
      <w:r>
        <w:rPr>
          <w:rFonts w:ascii="仿宋" w:hAnsi="仿宋" w:eastAsia="仿宋" w:cs="仿宋"/>
          <w:spacing w:val="11"/>
          <w:sz w:val="31"/>
          <w:szCs w:val="31"/>
        </w:rPr>
        <w:t>同双方合法权</w:t>
      </w:r>
      <w:r>
        <w:rPr>
          <w:rFonts w:ascii="仿宋" w:hAnsi="仿宋" w:eastAsia="仿宋" w:cs="仿宋"/>
          <w:spacing w:val="7"/>
          <w:sz w:val="31"/>
          <w:szCs w:val="31"/>
        </w:rPr>
        <w:t>益，根据国家有关法律法规、电力市场相关规则及政策文件精神，合同双方本着平等自愿、公平诚信的原则，通过电力零</w:t>
      </w:r>
      <w:r>
        <w:rPr>
          <w:rFonts w:ascii="仿宋" w:hAnsi="仿宋" w:eastAsia="仿宋" w:cs="仿宋"/>
          <w:spacing w:val="6"/>
          <w:sz w:val="31"/>
          <w:szCs w:val="31"/>
        </w:rPr>
        <w:t>售交易平台</w:t>
      </w:r>
      <w:r>
        <w:rPr>
          <w:rFonts w:ascii="仿宋" w:hAnsi="仿宋" w:eastAsia="仿宋" w:cs="仿宋"/>
          <w:spacing w:val="9"/>
          <w:sz w:val="31"/>
          <w:szCs w:val="31"/>
        </w:rPr>
        <w:t>达成本合同，并按照本合同执行零售套餐交易相关</w:t>
      </w:r>
      <w:r>
        <w:rPr>
          <w:rFonts w:ascii="仿宋" w:hAnsi="仿宋" w:eastAsia="仿宋" w:cs="仿宋"/>
          <w:spacing w:val="8"/>
          <w:sz w:val="31"/>
          <w:szCs w:val="31"/>
        </w:rPr>
        <w:t>事宜。</w:t>
      </w:r>
    </w:p>
    <w:p w14:paraId="272C6024">
      <w:pPr>
        <w:spacing w:before="169" w:line="410" w:lineRule="exact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position w:val="1"/>
          <w:sz w:val="31"/>
          <w:szCs w:val="31"/>
        </w:rPr>
        <w:t>第二条</w:t>
      </w:r>
      <w:r>
        <w:rPr>
          <w:rFonts w:ascii="仿宋" w:hAnsi="仿宋" w:eastAsia="仿宋" w:cs="仿宋"/>
          <w:spacing w:val="85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position w:val="1"/>
          <w:sz w:val="31"/>
          <w:szCs w:val="31"/>
        </w:rPr>
        <w:t>甲、乙双方在此向对方陈述如下：</w:t>
      </w:r>
    </w:p>
    <w:p w14:paraId="2C5D0977">
      <w:pPr>
        <w:spacing w:before="170" w:line="295" w:lineRule="auto"/>
        <w:ind w:left="16" w:firstLine="658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1.本方为一家依法设立并合法存续的企业，在福建电力市场完</w:t>
      </w:r>
      <w:r>
        <w:rPr>
          <w:rFonts w:ascii="仿宋" w:hAnsi="仿宋" w:eastAsia="仿宋" w:cs="仿宋"/>
          <w:spacing w:val="7"/>
          <w:sz w:val="31"/>
          <w:szCs w:val="31"/>
        </w:rPr>
        <w:t>成注册，具备电力市场交易资格，有权签署并有能力履行本合同。</w:t>
      </w:r>
    </w:p>
    <w:p w14:paraId="6AF51C32">
      <w:pPr>
        <w:spacing w:before="172" w:line="311" w:lineRule="auto"/>
        <w:ind w:left="14" w:right="30" w:firstLine="636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2.本方已充分理解福建电力市场有关规则，完全清楚电力市场可能存在的风险，认同成交结果，同意按照本合同约定执行，并自愿承担可能存在的后果。</w:t>
      </w:r>
    </w:p>
    <w:p w14:paraId="366C5BF9">
      <w:pPr>
        <w:spacing w:before="169" w:line="295" w:lineRule="auto"/>
        <w:ind w:left="8" w:right="30" w:firstLine="63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3.本方签署和履行本合同所需的一切手续（包括办理必要的政</w:t>
      </w:r>
      <w:r>
        <w:rPr>
          <w:rFonts w:ascii="仿宋" w:hAnsi="仿宋" w:eastAsia="仿宋" w:cs="仿宋"/>
          <w:spacing w:val="8"/>
          <w:sz w:val="31"/>
          <w:szCs w:val="31"/>
        </w:rPr>
        <w:t>府批准、取得营业执照等）均已办妥并合法有效。</w:t>
      </w:r>
    </w:p>
    <w:p w14:paraId="1D992D2B">
      <w:pPr>
        <w:spacing w:line="295" w:lineRule="auto"/>
        <w:rPr>
          <w:rFonts w:ascii="仿宋" w:hAnsi="仿宋" w:eastAsia="仿宋" w:cs="仿宋"/>
          <w:sz w:val="31"/>
          <w:szCs w:val="31"/>
        </w:rPr>
        <w:sectPr>
          <w:footerReference r:id="rId5" w:type="default"/>
          <w:pgSz w:w="11906" w:h="16839"/>
          <w:pgMar w:top="1301" w:right="1320" w:bottom="1559" w:left="1357" w:header="0" w:footer="1195" w:gutter="0"/>
          <w:pgNumType w:fmt="decimal"/>
          <w:cols w:space="720" w:num="1"/>
        </w:sectPr>
      </w:pPr>
    </w:p>
    <w:p w14:paraId="434126D6">
      <w:pPr>
        <w:spacing w:before="70" w:line="344" w:lineRule="auto"/>
        <w:ind w:left="11" w:right="2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4.本方为签署本合同所需的内部授权程序均已完成，本合同的签署人是本方法定代表人或授权代理人。本合同生效后即对合同双</w:t>
      </w:r>
      <w:r>
        <w:rPr>
          <w:rFonts w:ascii="仿宋" w:hAnsi="仿宋" w:eastAsia="仿宋" w:cs="仿宋"/>
          <w:spacing w:val="5"/>
          <w:sz w:val="31"/>
          <w:szCs w:val="31"/>
        </w:rPr>
        <w:t>方具有法律约束力。</w:t>
      </w:r>
    </w:p>
    <w:p w14:paraId="751DD347">
      <w:pPr>
        <w:spacing w:before="3" w:line="415" w:lineRule="exact"/>
        <w:ind w:left="316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"/>
          <w:sz w:val="31"/>
          <w:szCs w:val="31"/>
        </w:rPr>
        <w:t>第二章  权利和义务</w:t>
      </w:r>
    </w:p>
    <w:p w14:paraId="78C7CC95">
      <w:pPr>
        <w:spacing w:before="171" w:line="414" w:lineRule="exact"/>
        <w:ind w:left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position w:val="1"/>
          <w:sz w:val="31"/>
          <w:szCs w:val="31"/>
        </w:rPr>
        <w:t>第三条</w:t>
      </w:r>
      <w:r>
        <w:rPr>
          <w:rFonts w:ascii="仿宋" w:hAnsi="仿宋" w:eastAsia="仿宋" w:cs="仿宋"/>
          <w:spacing w:val="76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position w:val="1"/>
          <w:sz w:val="31"/>
          <w:szCs w:val="31"/>
        </w:rPr>
        <w:t>甲方的权利：</w:t>
      </w:r>
    </w:p>
    <w:p w14:paraId="144B92F2">
      <w:pPr>
        <w:spacing w:before="165" w:line="296" w:lineRule="auto"/>
        <w:ind w:left="16" w:right="2" w:firstLine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1.根据与电网企业签订的《供用电合同》，按照国家有关法规</w:t>
      </w:r>
      <w:r>
        <w:rPr>
          <w:rFonts w:ascii="仿宋" w:hAnsi="仿宋" w:eastAsia="仿宋" w:cs="仿宋"/>
          <w:spacing w:val="7"/>
          <w:sz w:val="31"/>
          <w:szCs w:val="31"/>
        </w:rPr>
        <w:t>享受电网企业提供的有关接入和用电服务。</w:t>
      </w:r>
    </w:p>
    <w:p w14:paraId="61B8E2C3">
      <w:pPr>
        <w:spacing w:before="166" w:line="411" w:lineRule="exact"/>
        <w:ind w:left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1"/>
          <w:sz w:val="31"/>
          <w:szCs w:val="31"/>
        </w:rPr>
        <w:t>2.获得乙方履行本合同义务相关的信息、资料。</w:t>
      </w:r>
    </w:p>
    <w:p w14:paraId="58F26D9D">
      <w:pPr>
        <w:spacing w:before="167" w:line="415" w:lineRule="exact"/>
        <w:ind w:left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position w:val="1"/>
          <w:sz w:val="31"/>
          <w:szCs w:val="31"/>
        </w:rPr>
        <w:t>第四条</w:t>
      </w:r>
      <w:r>
        <w:rPr>
          <w:rFonts w:ascii="仿宋" w:hAnsi="仿宋" w:eastAsia="仿宋" w:cs="仿宋"/>
          <w:spacing w:val="76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position w:val="1"/>
          <w:sz w:val="31"/>
          <w:szCs w:val="31"/>
        </w:rPr>
        <w:t>甲方的义务：</w:t>
      </w:r>
    </w:p>
    <w:p w14:paraId="0092C670">
      <w:pPr>
        <w:spacing w:before="168" w:line="344" w:lineRule="auto"/>
        <w:ind w:left="2" w:firstLine="68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向乙方提供与履行本合同相关的其他信息。如实提供用</w:t>
      </w:r>
      <w:r>
        <w:rPr>
          <w:rFonts w:ascii="仿宋" w:hAnsi="仿宋" w:eastAsia="仿宋" w:cs="仿宋"/>
          <w:spacing w:val="4"/>
          <w:sz w:val="31"/>
          <w:szCs w:val="31"/>
        </w:rPr>
        <w:t>户用电</w:t>
      </w:r>
      <w:r>
        <w:rPr>
          <w:rFonts w:ascii="仿宋" w:hAnsi="仿宋" w:eastAsia="仿宋" w:cs="仿宋"/>
          <w:spacing w:val="7"/>
          <w:sz w:val="31"/>
          <w:szCs w:val="31"/>
        </w:rPr>
        <w:t>信息，除居民、农业用电电量外，应全电量参与市场交易。</w:t>
      </w:r>
      <w:r>
        <w:rPr>
          <w:rFonts w:ascii="仿宋" w:hAnsi="仿宋" w:eastAsia="仿宋" w:cs="仿宋"/>
          <w:spacing w:val="6"/>
          <w:sz w:val="31"/>
          <w:szCs w:val="31"/>
        </w:rPr>
        <w:t>及时在</w:t>
      </w:r>
      <w:r>
        <w:rPr>
          <w:rFonts w:ascii="仿宋" w:hAnsi="仿宋" w:eastAsia="仿宋" w:cs="仿宋"/>
          <w:spacing w:val="7"/>
          <w:sz w:val="31"/>
          <w:szCs w:val="31"/>
        </w:rPr>
        <w:t>福建电力交易中心进行注册信息变更、完善，按时在</w:t>
      </w:r>
      <w:r>
        <w:rPr>
          <w:rFonts w:ascii="仿宋" w:hAnsi="仿宋" w:eastAsia="仿宋" w:cs="仿宋"/>
          <w:spacing w:val="6"/>
          <w:sz w:val="31"/>
          <w:szCs w:val="31"/>
        </w:rPr>
        <w:t>电力零售交易</w:t>
      </w:r>
      <w:r>
        <w:rPr>
          <w:rFonts w:ascii="仿宋" w:hAnsi="仿宋" w:eastAsia="仿宋" w:cs="仿宋"/>
          <w:spacing w:val="7"/>
          <w:sz w:val="31"/>
          <w:szCs w:val="31"/>
        </w:rPr>
        <w:t>平台完成零售套餐确认等工作。</w:t>
      </w:r>
    </w:p>
    <w:p w14:paraId="6549BF5E">
      <w:pPr>
        <w:spacing w:before="8" w:line="414" w:lineRule="exact"/>
        <w:ind w:left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position w:val="1"/>
          <w:sz w:val="31"/>
          <w:szCs w:val="31"/>
        </w:rPr>
        <w:t>第五条</w:t>
      </w:r>
      <w:r>
        <w:rPr>
          <w:rFonts w:ascii="仿宋" w:hAnsi="仿宋" w:eastAsia="仿宋" w:cs="仿宋"/>
          <w:spacing w:val="67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position w:val="1"/>
          <w:sz w:val="31"/>
          <w:szCs w:val="31"/>
        </w:rPr>
        <w:t>乙方的权利：</w:t>
      </w:r>
    </w:p>
    <w:p w14:paraId="443801C4">
      <w:pPr>
        <w:spacing w:before="164" w:line="412" w:lineRule="exact"/>
        <w:ind w:left="66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1"/>
          <w:sz w:val="31"/>
          <w:szCs w:val="31"/>
        </w:rPr>
        <w:t>1.依据合同约定获得零售服务相关费用；</w:t>
      </w:r>
    </w:p>
    <w:p w14:paraId="760D10CA">
      <w:pPr>
        <w:spacing w:before="170" w:line="296" w:lineRule="auto"/>
        <w:ind w:left="8" w:right="2" w:firstLine="63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2.要求甲方提供履行本合同义务相关的信息、资料及查阅关口计量数据。</w:t>
      </w:r>
    </w:p>
    <w:p w14:paraId="6C5A611C">
      <w:pPr>
        <w:spacing w:before="164" w:line="415" w:lineRule="exact"/>
        <w:ind w:left="6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"/>
          <w:position w:val="1"/>
          <w:sz w:val="31"/>
          <w:szCs w:val="31"/>
        </w:rPr>
        <w:t>第六条</w:t>
      </w:r>
      <w:r>
        <w:rPr>
          <w:rFonts w:ascii="仿宋" w:hAnsi="仿宋" w:eastAsia="仿宋" w:cs="仿宋"/>
          <w:spacing w:val="67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position w:val="1"/>
          <w:sz w:val="31"/>
          <w:szCs w:val="31"/>
        </w:rPr>
        <w:t>乙方的义务：</w:t>
      </w:r>
    </w:p>
    <w:p w14:paraId="69964CF5">
      <w:pPr>
        <w:spacing w:before="166" w:line="296" w:lineRule="auto"/>
        <w:ind w:left="1" w:right="2" w:firstLine="6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1.按照福建省电力市场有关规则，代理甲方参与电力交易，并</w:t>
      </w:r>
      <w:r>
        <w:rPr>
          <w:rFonts w:ascii="仿宋" w:hAnsi="仿宋" w:eastAsia="仿宋" w:cs="仿宋"/>
          <w:spacing w:val="7"/>
          <w:sz w:val="31"/>
          <w:szCs w:val="31"/>
        </w:rPr>
        <w:t>按规定结算和收支相关费用；</w:t>
      </w:r>
    </w:p>
    <w:p w14:paraId="5051099F">
      <w:pPr>
        <w:spacing w:before="166" w:line="295" w:lineRule="auto"/>
        <w:ind w:right="3" w:firstLine="644"/>
        <w:jc w:val="both"/>
        <w:rPr>
          <w:rFonts w:hint="eastAsia" w:ascii="仿宋" w:hAnsi="仿宋" w:eastAsia="仿宋" w:cs="仿宋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12"/>
          <w:sz w:val="31"/>
          <w:szCs w:val="31"/>
        </w:rPr>
        <w:t>2.向甲方提供真实准确的有关电力零售套餐交易的相关信息</w:t>
      </w:r>
      <w:r>
        <w:rPr>
          <w:rFonts w:ascii="仿宋" w:hAnsi="仿宋" w:eastAsia="仿宋" w:cs="仿宋"/>
          <w:spacing w:val="8"/>
          <w:sz w:val="31"/>
          <w:szCs w:val="31"/>
        </w:rPr>
        <w:t>及资料，不得提供虚假的或误导性的信息；</w:t>
      </w:r>
      <w:r>
        <w:rPr>
          <w:rFonts w:hint="eastAsia" w:ascii="仿宋" w:hAnsi="仿宋" w:eastAsia="仿宋" w:cs="仿宋"/>
          <w:spacing w:val="8"/>
          <w:sz w:val="31"/>
          <w:szCs w:val="31"/>
          <w:lang w:val="en-US" w:eastAsia="zh-CN"/>
        </w:rPr>
        <w:t xml:space="preserve"> </w:t>
      </w:r>
    </w:p>
    <w:p w14:paraId="39E8FB5D">
      <w:pPr>
        <w:spacing w:before="170" w:line="411" w:lineRule="exact"/>
        <w:ind w:left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position w:val="1"/>
          <w:sz w:val="31"/>
          <w:szCs w:val="31"/>
        </w:rPr>
        <w:t>3.对甲方的相关数据和资料承担相关保密义务；</w:t>
      </w:r>
    </w:p>
    <w:p w14:paraId="7A2B59A5">
      <w:pPr>
        <w:spacing w:before="167" w:line="412" w:lineRule="exact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1"/>
          <w:sz w:val="31"/>
          <w:szCs w:val="31"/>
        </w:rPr>
        <w:t>4.向甲方、电网企业及福建电力交易中心提供与履行本合同相</w:t>
      </w:r>
    </w:p>
    <w:p w14:paraId="1F529226">
      <w:pPr>
        <w:spacing w:line="412" w:lineRule="exact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6" w:h="16839"/>
          <w:pgMar w:top="1301" w:right="1348" w:bottom="1559" w:left="1363" w:header="0" w:footer="1195" w:gutter="0"/>
          <w:pgNumType w:fmt="decimal"/>
          <w:cols w:space="720" w:num="1"/>
        </w:sectPr>
      </w:pPr>
    </w:p>
    <w:p w14:paraId="783CD54D">
      <w:pPr>
        <w:spacing w:before="71" w:line="414" w:lineRule="exact"/>
        <w:ind w:left="1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position w:val="1"/>
          <w:sz w:val="31"/>
          <w:szCs w:val="31"/>
        </w:rPr>
        <w:t>关的其他信息。</w:t>
      </w:r>
    </w:p>
    <w:p w14:paraId="609174C1">
      <w:pPr>
        <w:spacing w:before="162" w:line="416" w:lineRule="exact"/>
        <w:ind w:left="2690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position w:val="1"/>
          <w:sz w:val="31"/>
          <w:szCs w:val="31"/>
        </w:rPr>
        <w:t>第三章</w:t>
      </w:r>
      <w:r>
        <w:rPr>
          <w:rFonts w:ascii="黑体" w:hAnsi="黑体" w:eastAsia="黑体" w:cs="黑体"/>
          <w:spacing w:val="29"/>
          <w:position w:val="1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position w:val="1"/>
          <w:sz w:val="31"/>
          <w:szCs w:val="31"/>
        </w:rPr>
        <w:t>电价、计量与结算</w:t>
      </w:r>
    </w:p>
    <w:p w14:paraId="44553DF8">
      <w:pPr>
        <w:spacing w:before="169" w:line="312" w:lineRule="auto"/>
        <w:ind w:left="5" w:firstLine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第七条</w:t>
      </w:r>
      <w:r>
        <w:rPr>
          <w:rFonts w:ascii="仿宋" w:hAnsi="仿宋" w:eastAsia="仿宋" w:cs="仿宋"/>
          <w:spacing w:val="8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甲方的终端到户电价除本合同约定的购电价格外，还</w:t>
      </w:r>
      <w:r>
        <w:rPr>
          <w:rFonts w:ascii="仿宋" w:hAnsi="仿宋" w:eastAsia="仿宋" w:cs="仿宋"/>
          <w:spacing w:val="7"/>
          <w:sz w:val="31"/>
          <w:szCs w:val="31"/>
        </w:rPr>
        <w:t>包括上网环节线损费用、输配电价、系统运行费用、政府性基金及</w:t>
      </w:r>
      <w:r>
        <w:rPr>
          <w:rFonts w:ascii="仿宋" w:hAnsi="仿宋" w:eastAsia="仿宋" w:cs="仿宋"/>
          <w:spacing w:val="8"/>
          <w:sz w:val="31"/>
          <w:szCs w:val="31"/>
        </w:rPr>
        <w:t>附加等组成，具体按照国家和省内有关规定执行。</w:t>
      </w:r>
    </w:p>
    <w:p w14:paraId="73B21935">
      <w:pPr>
        <w:spacing w:before="166" w:line="413" w:lineRule="exact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3"/>
          <w:position w:val="1"/>
          <w:sz w:val="31"/>
          <w:szCs w:val="31"/>
        </w:rPr>
        <w:t>第八条</w:t>
      </w:r>
      <w:r>
        <w:rPr>
          <w:rFonts w:ascii="仿宋" w:hAnsi="仿宋" w:eastAsia="仿宋" w:cs="仿宋"/>
          <w:spacing w:val="61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position w:val="1"/>
          <w:sz w:val="31"/>
          <w:szCs w:val="31"/>
        </w:rPr>
        <w:t>电能计量</w:t>
      </w:r>
    </w:p>
    <w:p w14:paraId="46A7BFC5">
      <w:pPr>
        <w:spacing w:before="165" w:line="345" w:lineRule="auto"/>
        <w:ind w:left="22" w:firstLine="674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甲方结算电量以甲方与电网企业签订的供用电合同中所约定</w:t>
      </w:r>
      <w:r>
        <w:rPr>
          <w:rFonts w:ascii="仿宋" w:hAnsi="仿宋" w:eastAsia="仿宋" w:cs="仿宋"/>
          <w:spacing w:val="14"/>
          <w:sz w:val="31"/>
          <w:szCs w:val="31"/>
        </w:rPr>
        <w:t>的抄表时间抄录和计量点关口表计量电量为依据。本合同履行期</w:t>
      </w:r>
      <w:r>
        <w:rPr>
          <w:rFonts w:ascii="仿宋" w:hAnsi="仿宋" w:eastAsia="仿宋" w:cs="仿宋"/>
          <w:spacing w:val="6"/>
          <w:sz w:val="31"/>
          <w:szCs w:val="31"/>
        </w:rPr>
        <w:t>间，若电能计量点（或营销户号）发生变更，甲方应及时完成营销</w:t>
      </w:r>
      <w:r>
        <w:rPr>
          <w:rFonts w:ascii="仿宋" w:hAnsi="仿宋" w:eastAsia="仿宋" w:cs="仿宋"/>
          <w:spacing w:val="5"/>
          <w:sz w:val="31"/>
          <w:szCs w:val="31"/>
        </w:rPr>
        <w:t>业务系统信息变更。</w:t>
      </w:r>
    </w:p>
    <w:p w14:paraId="76689F64">
      <w:pPr>
        <w:spacing w:before="5" w:line="414" w:lineRule="exact"/>
        <w:ind w:left="66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position w:val="1"/>
          <w:sz w:val="31"/>
          <w:szCs w:val="31"/>
        </w:rPr>
        <w:t>第九条</w:t>
      </w:r>
      <w:r>
        <w:rPr>
          <w:rFonts w:ascii="仿宋" w:hAnsi="仿宋" w:eastAsia="仿宋" w:cs="仿宋"/>
          <w:spacing w:val="33"/>
          <w:position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position w:val="1"/>
          <w:sz w:val="31"/>
          <w:szCs w:val="31"/>
        </w:rPr>
        <w:t>结算方式</w:t>
      </w:r>
    </w:p>
    <w:p w14:paraId="6A6B43B9">
      <w:pPr>
        <w:spacing w:before="162" w:line="326" w:lineRule="auto"/>
        <w:ind w:left="8" w:firstLine="6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1.在本合同执行期内，福建电力交易中心按照合同双方通过电</w:t>
      </w:r>
      <w:r>
        <w:rPr>
          <w:rFonts w:ascii="仿宋" w:hAnsi="仿宋" w:eastAsia="仿宋" w:cs="仿宋"/>
          <w:spacing w:val="7"/>
          <w:sz w:val="31"/>
          <w:szCs w:val="31"/>
        </w:rPr>
        <w:t>力零售交易平台签约确认的零售套餐各项参数（合同</w:t>
      </w:r>
      <w:r>
        <w:rPr>
          <w:rFonts w:ascii="仿宋" w:hAnsi="仿宋" w:eastAsia="仿宋" w:cs="仿宋"/>
          <w:spacing w:val="6"/>
          <w:sz w:val="31"/>
          <w:szCs w:val="31"/>
        </w:rPr>
        <w:t>双方通过电力</w:t>
      </w:r>
      <w:r>
        <w:rPr>
          <w:rFonts w:ascii="仿宋" w:hAnsi="仿宋" w:eastAsia="仿宋" w:cs="仿宋"/>
          <w:spacing w:val="8"/>
          <w:sz w:val="31"/>
          <w:szCs w:val="31"/>
        </w:rPr>
        <w:t>零售交易平台达成的电力零售套餐参数详见附件</w:t>
      </w:r>
      <w:r>
        <w:rPr>
          <w:rFonts w:ascii="仿宋" w:hAnsi="仿宋" w:eastAsia="仿宋" w:cs="仿宋"/>
          <w:spacing w:val="-8"/>
          <w:sz w:val="31"/>
          <w:szCs w:val="31"/>
        </w:rPr>
        <w:t>），</w:t>
      </w:r>
      <w:r>
        <w:rPr>
          <w:rFonts w:ascii="仿宋" w:hAnsi="仿宋" w:eastAsia="仿宋" w:cs="仿宋"/>
          <w:spacing w:val="8"/>
          <w:sz w:val="31"/>
          <w:szCs w:val="31"/>
        </w:rPr>
        <w:t>按月开展零售</w:t>
      </w:r>
      <w:r>
        <w:rPr>
          <w:rFonts w:ascii="仿宋" w:hAnsi="仿宋" w:eastAsia="仿宋" w:cs="仿宋"/>
          <w:spacing w:val="7"/>
          <w:sz w:val="31"/>
          <w:szCs w:val="31"/>
        </w:rPr>
        <w:t>市场线上结算并出具结算依据。电网企业按照福建电</w:t>
      </w:r>
      <w:r>
        <w:rPr>
          <w:rFonts w:ascii="仿宋" w:hAnsi="仿宋" w:eastAsia="仿宋" w:cs="仿宋"/>
          <w:spacing w:val="6"/>
          <w:sz w:val="31"/>
          <w:szCs w:val="31"/>
        </w:rPr>
        <w:t>力市场运行基</w:t>
      </w:r>
      <w:r>
        <w:rPr>
          <w:rFonts w:ascii="仿宋" w:hAnsi="仿宋" w:eastAsia="仿宋" w:cs="仿宋"/>
          <w:spacing w:val="8"/>
          <w:sz w:val="31"/>
          <w:szCs w:val="31"/>
        </w:rPr>
        <w:t>本规则及配套实施细则开展电费核算及收支。</w:t>
      </w:r>
    </w:p>
    <w:p w14:paraId="2A07440D">
      <w:pPr>
        <w:spacing w:before="166" w:line="295" w:lineRule="auto"/>
        <w:ind w:left="17" w:firstLine="63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2.甲方月度结算电量按甲方月度实际电量结算，以电网企业电</w:t>
      </w:r>
      <w:r>
        <w:rPr>
          <w:rFonts w:ascii="仿宋" w:hAnsi="仿宋" w:eastAsia="仿宋" w:cs="仿宋"/>
          <w:spacing w:val="8"/>
          <w:sz w:val="31"/>
          <w:szCs w:val="31"/>
        </w:rPr>
        <w:t>力计量装置采集并推送至福建电力交易中心的实际电量为准。</w:t>
      </w:r>
    </w:p>
    <w:p w14:paraId="612C4DD7">
      <w:pPr>
        <w:spacing w:before="171" w:line="312" w:lineRule="auto"/>
        <w:ind w:left="16" w:firstLine="632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3.合同双方达成的绿色电力交易，按相关政策或规则要求结</w:t>
      </w:r>
      <w:r>
        <w:rPr>
          <w:rFonts w:ascii="仿宋" w:hAnsi="仿宋" w:eastAsia="仿宋" w:cs="仿宋"/>
          <w:spacing w:val="6"/>
          <w:sz w:val="31"/>
          <w:szCs w:val="31"/>
        </w:rPr>
        <w:t>算。乙方在电力交易平台关联至甲方的绿电交易电量，作为甲方的</w:t>
      </w:r>
      <w:r>
        <w:rPr>
          <w:rFonts w:ascii="仿宋" w:hAnsi="仿宋" w:eastAsia="仿宋" w:cs="仿宋"/>
          <w:spacing w:val="7"/>
          <w:sz w:val="31"/>
          <w:szCs w:val="31"/>
        </w:rPr>
        <w:t>绿电交易合同电量参与结算。</w:t>
      </w:r>
    </w:p>
    <w:p w14:paraId="3C437185">
      <w:pPr>
        <w:spacing w:before="162" w:line="416" w:lineRule="exact"/>
        <w:ind w:left="2851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"/>
          <w:sz w:val="31"/>
          <w:szCs w:val="31"/>
        </w:rPr>
        <w:t>第四章  合同变更和解除</w:t>
      </w:r>
    </w:p>
    <w:p w14:paraId="0C707788">
      <w:pPr>
        <w:spacing w:before="168" w:line="338" w:lineRule="auto"/>
        <w:ind w:left="17" w:right="2" w:firstLine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第十条 合同双方经协商一致后，可在电力零售</w:t>
      </w:r>
      <w:r>
        <w:rPr>
          <w:rFonts w:ascii="仿宋" w:hAnsi="仿宋" w:eastAsia="仿宋" w:cs="仿宋"/>
          <w:spacing w:val="11"/>
          <w:sz w:val="31"/>
          <w:szCs w:val="31"/>
        </w:rPr>
        <w:t>交易平台对零</w:t>
      </w:r>
      <w:r>
        <w:rPr>
          <w:rFonts w:ascii="仿宋" w:hAnsi="仿宋" w:eastAsia="仿宋" w:cs="仿宋"/>
          <w:spacing w:val="8"/>
          <w:sz w:val="31"/>
          <w:szCs w:val="31"/>
        </w:rPr>
        <w:t>售套餐参数进行变更，双方依变更后的套餐参数履行合同。</w:t>
      </w:r>
    </w:p>
    <w:p w14:paraId="0D171C62">
      <w:pPr>
        <w:spacing w:line="338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6" w:h="16839"/>
          <w:pgMar w:top="1301" w:right="1348" w:bottom="1559" w:left="1357" w:header="0" w:footer="1195" w:gutter="0"/>
          <w:pgNumType w:fmt="decimal"/>
          <w:cols w:space="720" w:num="1"/>
        </w:sectPr>
      </w:pPr>
    </w:p>
    <w:p w14:paraId="230C8FEA">
      <w:pPr>
        <w:spacing w:before="74" w:line="320" w:lineRule="auto"/>
        <w:ind w:left="2" w:right="100" w:firstLine="6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第十一条 本合同的订立、效力、解释、履行和</w:t>
      </w:r>
      <w:r>
        <w:rPr>
          <w:rFonts w:ascii="仿宋" w:hAnsi="仿宋" w:eastAsia="仿宋" w:cs="仿宋"/>
          <w:spacing w:val="11"/>
          <w:sz w:val="31"/>
          <w:szCs w:val="31"/>
        </w:rPr>
        <w:t>争议的解决均</w:t>
      </w:r>
      <w:r>
        <w:rPr>
          <w:rFonts w:ascii="仿宋" w:hAnsi="仿宋" w:eastAsia="仿宋" w:cs="仿宋"/>
          <w:spacing w:val="7"/>
          <w:sz w:val="31"/>
          <w:szCs w:val="31"/>
        </w:rPr>
        <w:t>适用于中华人民共和国法律。因国家法律、法规发</w:t>
      </w:r>
      <w:r>
        <w:rPr>
          <w:rFonts w:ascii="仿宋" w:hAnsi="仿宋" w:eastAsia="仿宋" w:cs="仿宋"/>
          <w:spacing w:val="6"/>
          <w:sz w:val="31"/>
          <w:szCs w:val="31"/>
        </w:rPr>
        <w:t>生变化或者政府</w:t>
      </w:r>
      <w:r>
        <w:rPr>
          <w:rFonts w:ascii="仿宋" w:hAnsi="仿宋" w:eastAsia="仿宋" w:cs="仿宋"/>
          <w:spacing w:val="7"/>
          <w:sz w:val="31"/>
          <w:szCs w:val="31"/>
        </w:rPr>
        <w:t>有关部门、能源监管机构出台有关规定、规则，导</w:t>
      </w:r>
      <w:r>
        <w:rPr>
          <w:rFonts w:ascii="仿宋" w:hAnsi="仿宋" w:eastAsia="仿宋" w:cs="仿宋"/>
          <w:spacing w:val="6"/>
          <w:sz w:val="31"/>
          <w:szCs w:val="31"/>
        </w:rPr>
        <w:t>致双方不能正常</w:t>
      </w:r>
      <w:r>
        <w:rPr>
          <w:rFonts w:ascii="仿宋" w:hAnsi="仿宋" w:eastAsia="仿宋" w:cs="仿宋"/>
          <w:spacing w:val="8"/>
          <w:sz w:val="31"/>
          <w:szCs w:val="31"/>
        </w:rPr>
        <w:t>履行合同约定时，双方依据法律法规妥善解决。</w:t>
      </w:r>
    </w:p>
    <w:p w14:paraId="73869008">
      <w:pPr>
        <w:spacing w:before="167" w:line="296" w:lineRule="auto"/>
        <w:ind w:left="6" w:right="100" w:firstLine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第十二条 合同双方经过协商一致，可通过电力</w:t>
      </w:r>
      <w:r>
        <w:rPr>
          <w:rFonts w:ascii="仿宋" w:hAnsi="仿宋" w:eastAsia="仿宋" w:cs="仿宋"/>
          <w:spacing w:val="11"/>
          <w:sz w:val="31"/>
          <w:szCs w:val="31"/>
        </w:rPr>
        <w:t>零售交易平台</w:t>
      </w:r>
      <w:r>
        <w:rPr>
          <w:rFonts w:ascii="仿宋" w:hAnsi="仿宋" w:eastAsia="仿宋" w:cs="仿宋"/>
          <w:spacing w:val="9"/>
          <w:sz w:val="31"/>
          <w:szCs w:val="31"/>
        </w:rPr>
        <w:t>开展合同解约，解除次月起所有月份（不含履约当</w:t>
      </w:r>
      <w:r>
        <w:rPr>
          <w:rFonts w:ascii="仿宋" w:hAnsi="仿宋" w:eastAsia="仿宋" w:cs="仿宋"/>
          <w:spacing w:val="8"/>
          <w:sz w:val="31"/>
          <w:szCs w:val="31"/>
        </w:rPr>
        <w:t>月）的合同。</w:t>
      </w:r>
    </w:p>
    <w:p w14:paraId="39F9D67D">
      <w:pPr>
        <w:spacing w:before="167" w:line="296" w:lineRule="auto"/>
        <w:ind w:left="26" w:right="100" w:firstLine="62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第十三条 本合同有效期内，任何一方发生下列事件，自动解</w:t>
      </w:r>
      <w:r>
        <w:rPr>
          <w:rFonts w:ascii="仿宋" w:hAnsi="仿宋" w:eastAsia="仿宋" w:cs="仿宋"/>
          <w:spacing w:val="7"/>
          <w:sz w:val="31"/>
          <w:szCs w:val="31"/>
        </w:rPr>
        <w:t>除次月起所有月份（不含履约当月）的合同：</w:t>
      </w:r>
    </w:p>
    <w:p w14:paraId="1ABEFE28">
      <w:pPr>
        <w:spacing w:before="163" w:line="414" w:lineRule="exact"/>
        <w:ind w:left="66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position w:val="1"/>
          <w:sz w:val="31"/>
          <w:szCs w:val="31"/>
        </w:rPr>
        <w:t>1.强制退出电力市场；</w:t>
      </w:r>
    </w:p>
    <w:p w14:paraId="448E8C47">
      <w:pPr>
        <w:spacing w:before="168" w:line="296" w:lineRule="auto"/>
        <w:ind w:left="13" w:right="100" w:firstLine="62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8"/>
          <w:sz w:val="31"/>
          <w:szCs w:val="31"/>
        </w:rPr>
        <w:t>2.聚合资源与虚拟电厂技术支持系统的聚合关系经电力负荷</w:t>
      </w:r>
      <w:r>
        <w:rPr>
          <w:rFonts w:ascii="仿宋" w:hAnsi="仿宋" w:eastAsia="仿宋" w:cs="仿宋"/>
          <w:spacing w:val="5"/>
          <w:sz w:val="31"/>
          <w:szCs w:val="31"/>
        </w:rPr>
        <w:t>管理中心确定为失效。</w:t>
      </w:r>
    </w:p>
    <w:p w14:paraId="0CCCBFA7">
      <w:pPr>
        <w:spacing w:before="159" w:line="416" w:lineRule="exact"/>
        <w:ind w:left="3163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"/>
          <w:sz w:val="31"/>
          <w:szCs w:val="31"/>
        </w:rPr>
        <w:t>第五章  违约和赔偿</w:t>
      </w:r>
    </w:p>
    <w:p w14:paraId="644AFAA4">
      <w:pPr>
        <w:spacing w:before="166" w:line="345" w:lineRule="auto"/>
        <w:ind w:right="100"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第十四条 任何一方违反本合同约定条款视为违</w:t>
      </w:r>
      <w:r>
        <w:rPr>
          <w:rFonts w:ascii="仿宋" w:hAnsi="仿宋" w:eastAsia="仿宋" w:cs="仿宋"/>
          <w:spacing w:val="11"/>
          <w:sz w:val="31"/>
          <w:szCs w:val="31"/>
        </w:rPr>
        <w:t>约，除按本合</w:t>
      </w:r>
      <w:r>
        <w:rPr>
          <w:rFonts w:ascii="仿宋" w:hAnsi="仿宋" w:eastAsia="仿宋" w:cs="仿宋"/>
          <w:spacing w:val="7"/>
          <w:sz w:val="31"/>
          <w:szCs w:val="31"/>
        </w:rPr>
        <w:t>同约定或依法可免除责任的情形外，合同另一方有权要</w:t>
      </w:r>
      <w:r>
        <w:rPr>
          <w:rFonts w:ascii="仿宋" w:hAnsi="仿宋" w:eastAsia="仿宋" w:cs="仿宋"/>
          <w:spacing w:val="6"/>
          <w:sz w:val="31"/>
          <w:szCs w:val="31"/>
        </w:rPr>
        <w:t>求违约方按</w:t>
      </w:r>
      <w:r>
        <w:rPr>
          <w:rFonts w:ascii="仿宋" w:hAnsi="仿宋" w:eastAsia="仿宋" w:cs="仿宋"/>
          <w:spacing w:val="7"/>
          <w:sz w:val="31"/>
          <w:szCs w:val="31"/>
        </w:rPr>
        <w:t>照《中华人民共和国民法典》的相关规定承担违约责任</w:t>
      </w:r>
      <w:r>
        <w:rPr>
          <w:rFonts w:ascii="仿宋" w:hAnsi="仿宋" w:eastAsia="仿宋" w:cs="仿宋"/>
          <w:spacing w:val="6"/>
          <w:sz w:val="31"/>
          <w:szCs w:val="31"/>
        </w:rPr>
        <w:t>并赔偿违约造成的经济损失。</w:t>
      </w:r>
    </w:p>
    <w:p w14:paraId="3E56CA45">
      <w:pPr>
        <w:spacing w:before="2" w:line="416" w:lineRule="exact"/>
        <w:ind w:left="3163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position w:val="1"/>
          <w:sz w:val="31"/>
          <w:szCs w:val="31"/>
        </w:rPr>
        <w:t>第六章  争议的解决</w:t>
      </w:r>
    </w:p>
    <w:p w14:paraId="1AD1B0E6">
      <w:pPr>
        <w:spacing w:before="169" w:line="344" w:lineRule="auto"/>
        <w:ind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3"/>
          <w:sz w:val="31"/>
          <w:szCs w:val="31"/>
        </w:rPr>
        <w:t>第十五条</w:t>
      </w:r>
      <w:r>
        <w:rPr>
          <w:rFonts w:ascii="仿宋" w:hAnsi="仿宋" w:eastAsia="仿宋" w:cs="仿宋"/>
          <w:spacing w:val="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3"/>
          <w:sz w:val="31"/>
          <w:szCs w:val="31"/>
        </w:rPr>
        <w:t>凡因执行本合同所发生的与本合同有关的</w:t>
      </w:r>
      <w:r>
        <w:rPr>
          <w:rFonts w:ascii="仿宋" w:hAnsi="仿宋" w:eastAsia="仿宋" w:cs="仿宋"/>
          <w:spacing w:val="22"/>
          <w:sz w:val="31"/>
          <w:szCs w:val="31"/>
        </w:rPr>
        <w:t>一切争</w:t>
      </w:r>
      <w:r>
        <w:rPr>
          <w:rFonts w:ascii="仿宋" w:hAnsi="仿宋" w:eastAsia="仿宋" w:cs="仿宋"/>
          <w:sz w:val="31"/>
          <w:szCs w:val="31"/>
        </w:rPr>
        <w:t>议，双方应本着互利共惠、公平诚信的原则</w:t>
      </w:r>
      <w:r>
        <w:rPr>
          <w:rFonts w:ascii="仿宋" w:hAnsi="仿宋" w:eastAsia="仿宋" w:cs="仿宋"/>
          <w:spacing w:val="-1"/>
          <w:sz w:val="31"/>
          <w:szCs w:val="31"/>
        </w:rPr>
        <w:t>协商解决。如协商不成，</w:t>
      </w:r>
      <w:r>
        <w:rPr>
          <w:rFonts w:ascii="仿宋" w:hAnsi="仿宋" w:eastAsia="仿宋" w:cs="仿宋"/>
          <w:spacing w:val="9"/>
          <w:sz w:val="31"/>
          <w:szCs w:val="31"/>
        </w:rPr>
        <w:t>双方依法提请任何一方所在地人民法院通过民事诉讼程序解决。</w:t>
      </w:r>
    </w:p>
    <w:p w14:paraId="74FEC9E1">
      <w:pPr>
        <w:spacing w:before="1" w:line="416" w:lineRule="exact"/>
        <w:ind w:left="3643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1"/>
          <w:position w:val="1"/>
          <w:sz w:val="31"/>
          <w:szCs w:val="31"/>
        </w:rPr>
        <w:t>第七章</w:t>
      </w:r>
      <w:r>
        <w:rPr>
          <w:rFonts w:ascii="黑体" w:hAnsi="黑体" w:eastAsia="黑体" w:cs="黑体"/>
          <w:spacing w:val="23"/>
          <w:position w:val="1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-1"/>
          <w:position w:val="1"/>
          <w:sz w:val="31"/>
          <w:szCs w:val="31"/>
        </w:rPr>
        <w:t>附则</w:t>
      </w:r>
    </w:p>
    <w:p w14:paraId="1BFF11B6">
      <w:pPr>
        <w:spacing w:before="172" w:line="340" w:lineRule="auto"/>
        <w:ind w:left="3" w:right="97" w:firstLine="65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第十六条 合同双方对交易信息应履行保密义务，不得泄露商</w:t>
      </w:r>
      <w:r>
        <w:rPr>
          <w:rFonts w:ascii="仿宋" w:hAnsi="仿宋" w:eastAsia="仿宋" w:cs="仿宋"/>
          <w:spacing w:val="7"/>
          <w:sz w:val="31"/>
          <w:szCs w:val="31"/>
        </w:rPr>
        <w:t>业机密。合同双方均应保证其从另一方取得的所有无</w:t>
      </w:r>
      <w:r>
        <w:rPr>
          <w:rFonts w:ascii="仿宋" w:hAnsi="仿宋" w:eastAsia="仿宋" w:cs="仿宋"/>
          <w:spacing w:val="6"/>
          <w:sz w:val="31"/>
          <w:szCs w:val="31"/>
        </w:rPr>
        <w:t>法自公开渠道</w:t>
      </w:r>
      <w:r>
        <w:rPr>
          <w:rFonts w:ascii="仿宋" w:hAnsi="仿宋" w:eastAsia="仿宋" w:cs="仿宋"/>
          <w:spacing w:val="7"/>
          <w:sz w:val="31"/>
          <w:szCs w:val="31"/>
        </w:rPr>
        <w:t>获得的资料和文件（包括财务、技术等内容）予</w:t>
      </w:r>
      <w:r>
        <w:rPr>
          <w:rFonts w:ascii="仿宋" w:hAnsi="仿宋" w:eastAsia="仿宋" w:cs="仿宋"/>
          <w:spacing w:val="6"/>
          <w:sz w:val="31"/>
          <w:szCs w:val="31"/>
        </w:rPr>
        <w:t>以保密。未经该资</w:t>
      </w:r>
    </w:p>
    <w:p w14:paraId="093469F5">
      <w:pPr>
        <w:spacing w:line="340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6" w:h="16839"/>
          <w:pgMar w:top="1301" w:right="1250" w:bottom="1559" w:left="1365" w:header="0" w:footer="1195" w:gutter="0"/>
          <w:pgNumType w:fmt="decimal"/>
          <w:cols w:space="720" w:num="1"/>
        </w:sectPr>
      </w:pPr>
    </w:p>
    <w:p w14:paraId="22BE2E53">
      <w:pPr>
        <w:spacing w:before="73" w:line="344" w:lineRule="auto"/>
        <w:ind w:left="8" w:firstLine="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料和文件的原提供方同意，不得向任何第三方透露该资料和文件的</w:t>
      </w:r>
      <w:r>
        <w:rPr>
          <w:rFonts w:ascii="仿宋" w:hAnsi="仿宋" w:eastAsia="仿宋" w:cs="仿宋"/>
          <w:spacing w:val="8"/>
          <w:sz w:val="31"/>
          <w:szCs w:val="31"/>
        </w:rPr>
        <w:t>全部或任何部分，但按照法律、法规规定可做出披露的</w:t>
      </w:r>
      <w:r>
        <w:rPr>
          <w:rFonts w:ascii="仿宋" w:hAnsi="仿宋" w:eastAsia="仿宋" w:cs="仿宋"/>
          <w:spacing w:val="7"/>
          <w:sz w:val="31"/>
          <w:szCs w:val="31"/>
        </w:rPr>
        <w:t>情况除外。</w:t>
      </w:r>
    </w:p>
    <w:p w14:paraId="7F82E044">
      <w:pPr>
        <w:spacing w:before="2" w:line="410" w:lineRule="exact"/>
        <w:ind w:left="64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position w:val="1"/>
          <w:sz w:val="31"/>
          <w:szCs w:val="31"/>
        </w:rPr>
        <w:t>本合同中保密的条款在本合同解除后仍然有效。</w:t>
      </w:r>
    </w:p>
    <w:p w14:paraId="5DDEE63E">
      <w:pPr>
        <w:spacing w:before="170" w:line="344" w:lineRule="auto"/>
        <w:ind w:left="54" w:firstLine="60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第十七条 本合同及其附件构成双方就本合同标的达成的全部</w:t>
      </w:r>
      <w:r>
        <w:rPr>
          <w:rFonts w:ascii="仿宋" w:hAnsi="仿宋" w:eastAsia="仿宋" w:cs="仿宋"/>
          <w:spacing w:val="6"/>
          <w:sz w:val="31"/>
          <w:szCs w:val="31"/>
        </w:rPr>
        <w:t>内容。交易双方可自行对合同未尽事项进行协商并签订补充协议。</w:t>
      </w:r>
    </w:p>
    <w:p w14:paraId="137FFBFA">
      <w:pPr>
        <w:pStyle w:val="2"/>
        <w:spacing w:line="245" w:lineRule="auto"/>
      </w:pPr>
    </w:p>
    <w:p w14:paraId="4004DC44">
      <w:pPr>
        <w:pStyle w:val="2"/>
        <w:spacing w:line="245" w:lineRule="auto"/>
      </w:pPr>
    </w:p>
    <w:p w14:paraId="094E8C30">
      <w:pPr>
        <w:pStyle w:val="2"/>
        <w:spacing w:line="245" w:lineRule="auto"/>
      </w:pPr>
    </w:p>
    <w:p w14:paraId="3DCBC2BC">
      <w:pPr>
        <w:pStyle w:val="2"/>
        <w:spacing w:line="246" w:lineRule="auto"/>
      </w:pPr>
    </w:p>
    <w:p w14:paraId="26407359">
      <w:pPr>
        <w:pStyle w:val="2"/>
        <w:spacing w:line="246" w:lineRule="auto"/>
      </w:pPr>
    </w:p>
    <w:p w14:paraId="566EA420">
      <w:pPr>
        <w:pStyle w:val="2"/>
        <w:spacing w:line="246" w:lineRule="auto"/>
      </w:pPr>
    </w:p>
    <w:p w14:paraId="03FDE25E">
      <w:pPr>
        <w:pStyle w:val="2"/>
        <w:spacing w:line="246" w:lineRule="auto"/>
      </w:pPr>
    </w:p>
    <w:p w14:paraId="0789467B">
      <w:pPr>
        <w:pStyle w:val="2"/>
        <w:spacing w:line="246" w:lineRule="auto"/>
      </w:pPr>
    </w:p>
    <w:p w14:paraId="00A5BE8F">
      <w:pPr>
        <w:pStyle w:val="2"/>
        <w:spacing w:line="246" w:lineRule="auto"/>
      </w:pPr>
    </w:p>
    <w:p w14:paraId="5EF08BF6">
      <w:pPr>
        <w:spacing w:before="100" w:line="415" w:lineRule="exact"/>
        <w:ind w:left="5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position w:val="1"/>
          <w:sz w:val="31"/>
          <w:szCs w:val="31"/>
        </w:rPr>
        <w:t>甲方（盖章</w:t>
      </w:r>
      <w:r>
        <w:rPr>
          <w:rFonts w:ascii="仿宋" w:hAnsi="仿宋" w:eastAsia="仿宋" w:cs="仿宋"/>
          <w:spacing w:val="-88"/>
          <w:w w:val="99"/>
          <w:position w:val="1"/>
          <w:sz w:val="31"/>
          <w:szCs w:val="31"/>
        </w:rPr>
        <w:t>）：</w:t>
      </w:r>
      <w:r>
        <w:rPr>
          <w:rFonts w:ascii="仿宋" w:hAnsi="仿宋" w:eastAsia="仿宋" w:cs="仿宋"/>
          <w:position w:val="1"/>
          <w:sz w:val="31"/>
          <w:szCs w:val="31"/>
        </w:rPr>
        <w:t xml:space="preserve">                       </w:t>
      </w:r>
      <w:r>
        <w:rPr>
          <w:rFonts w:ascii="仿宋" w:hAnsi="仿宋" w:eastAsia="仿宋" w:cs="仿宋"/>
          <w:spacing w:val="6"/>
          <w:position w:val="1"/>
          <w:sz w:val="31"/>
          <w:szCs w:val="31"/>
        </w:rPr>
        <w:t>乙方（盖章</w:t>
      </w:r>
      <w:r>
        <w:rPr>
          <w:rFonts w:ascii="仿宋" w:hAnsi="仿宋" w:eastAsia="仿宋" w:cs="仿宋"/>
          <w:spacing w:val="-88"/>
          <w:w w:val="99"/>
          <w:position w:val="1"/>
          <w:sz w:val="31"/>
          <w:szCs w:val="31"/>
        </w:rPr>
        <w:t>）：</w:t>
      </w:r>
    </w:p>
    <w:p w14:paraId="21AF17EC">
      <w:pPr>
        <w:spacing w:before="115" w:line="415" w:lineRule="exact"/>
        <w:ind w:left="8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24"/>
          <w:position w:val="1"/>
          <w:sz w:val="31"/>
          <w:szCs w:val="31"/>
        </w:rPr>
        <w:t>日期：</w:t>
      </w:r>
      <w:r>
        <w:rPr>
          <w:rFonts w:ascii="仿宋" w:hAnsi="仿宋" w:eastAsia="仿宋" w:cs="仿宋"/>
          <w:spacing w:val="12"/>
          <w:position w:val="1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24"/>
          <w:position w:val="1"/>
          <w:sz w:val="31"/>
          <w:szCs w:val="31"/>
        </w:rPr>
        <w:t>年</w:t>
      </w:r>
      <w:r>
        <w:rPr>
          <w:rFonts w:ascii="仿宋" w:hAnsi="仿宋" w:eastAsia="仿宋" w:cs="仿宋"/>
          <w:spacing w:val="21"/>
          <w:position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4"/>
          <w:position w:val="1"/>
          <w:sz w:val="31"/>
          <w:szCs w:val="31"/>
        </w:rPr>
        <w:t>月</w:t>
      </w:r>
      <w:r>
        <w:rPr>
          <w:rFonts w:ascii="仿宋" w:hAnsi="仿宋" w:eastAsia="仿宋" w:cs="仿宋"/>
          <w:spacing w:val="51"/>
          <w:position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4"/>
          <w:position w:val="1"/>
          <w:sz w:val="31"/>
          <w:szCs w:val="31"/>
        </w:rPr>
        <w:t>日</w:t>
      </w:r>
      <w:r>
        <w:rPr>
          <w:rFonts w:ascii="仿宋" w:hAnsi="仿宋" w:eastAsia="仿宋" w:cs="仿宋"/>
          <w:spacing w:val="1"/>
          <w:position w:val="1"/>
          <w:sz w:val="31"/>
          <w:szCs w:val="31"/>
        </w:rPr>
        <w:t xml:space="preserve">               </w:t>
      </w:r>
      <w:r>
        <w:rPr>
          <w:rFonts w:ascii="仿宋" w:hAnsi="仿宋" w:eastAsia="仿宋" w:cs="仿宋"/>
          <w:spacing w:val="-24"/>
          <w:position w:val="1"/>
          <w:sz w:val="31"/>
          <w:szCs w:val="31"/>
        </w:rPr>
        <w:t>日期：</w:t>
      </w:r>
      <w:r>
        <w:rPr>
          <w:rFonts w:ascii="仿宋" w:hAnsi="仿宋" w:eastAsia="仿宋" w:cs="仿宋"/>
          <w:spacing w:val="12"/>
          <w:position w:val="1"/>
          <w:sz w:val="31"/>
          <w:szCs w:val="31"/>
        </w:rPr>
        <w:t xml:space="preserve">    </w:t>
      </w:r>
      <w:r>
        <w:rPr>
          <w:rFonts w:ascii="仿宋" w:hAnsi="仿宋" w:eastAsia="仿宋" w:cs="仿宋"/>
          <w:spacing w:val="-24"/>
          <w:position w:val="1"/>
          <w:sz w:val="31"/>
          <w:szCs w:val="31"/>
        </w:rPr>
        <w:t>年</w:t>
      </w:r>
      <w:r>
        <w:rPr>
          <w:rFonts w:ascii="仿宋" w:hAnsi="仿宋" w:eastAsia="仿宋" w:cs="仿宋"/>
          <w:spacing w:val="21"/>
          <w:position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4"/>
          <w:position w:val="1"/>
          <w:sz w:val="31"/>
          <w:szCs w:val="31"/>
        </w:rPr>
        <w:t>月</w:t>
      </w:r>
      <w:r>
        <w:rPr>
          <w:rFonts w:ascii="仿宋" w:hAnsi="仿宋" w:eastAsia="仿宋" w:cs="仿宋"/>
          <w:spacing w:val="51"/>
          <w:position w:val="1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24"/>
          <w:position w:val="1"/>
          <w:sz w:val="31"/>
          <w:szCs w:val="31"/>
        </w:rPr>
        <w:t>日</w:t>
      </w:r>
    </w:p>
    <w:p w14:paraId="095B9163">
      <w:pPr>
        <w:spacing w:line="415" w:lineRule="exact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6" w:h="16839"/>
          <w:pgMar w:top="1301" w:right="1320" w:bottom="1559" w:left="1357" w:header="0" w:footer="1195" w:gutter="0"/>
          <w:pgNumType w:fmt="decimal"/>
          <w:cols w:space="720" w:num="1"/>
        </w:sectPr>
      </w:pPr>
    </w:p>
    <w:p w14:paraId="1E1CDFD7">
      <w:pPr>
        <w:spacing w:before="71" w:line="415" w:lineRule="exact"/>
        <w:ind w:left="1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position w:val="1"/>
          <w:sz w:val="31"/>
          <w:szCs w:val="31"/>
        </w:rPr>
        <w:t>附件：</w:t>
      </w:r>
    </w:p>
    <w:p w14:paraId="4CC33BAF">
      <w:pPr>
        <w:spacing w:line="77" w:lineRule="exact"/>
      </w:pPr>
    </w:p>
    <w:tbl>
      <w:tblPr>
        <w:tblStyle w:val="9"/>
        <w:tblW w:w="94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9"/>
        <w:gridCol w:w="2951"/>
        <w:gridCol w:w="4688"/>
      </w:tblGrid>
      <w:tr w14:paraId="0276FB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9428" w:type="dxa"/>
            <w:gridSpan w:val="3"/>
            <w:vAlign w:val="top"/>
          </w:tcPr>
          <w:p w14:paraId="64C0D9D9">
            <w:pPr>
              <w:spacing w:before="156" w:line="221" w:lineRule="auto"/>
              <w:ind w:left="2795"/>
              <w:rPr>
                <w:rFonts w:ascii="方正小标宋简体" w:hAnsi="方正小标宋简体" w:eastAsia="方正小标宋简体" w:cs="方正小标宋简体"/>
                <w:sz w:val="31"/>
                <w:szCs w:val="31"/>
              </w:rPr>
            </w:pPr>
            <w:r>
              <w:rPr>
                <w:rFonts w:ascii="方正小标宋简体" w:hAnsi="方正小标宋简体" w:eastAsia="方正小标宋简体" w:cs="方正小标宋简体"/>
                <w:spacing w:val="9"/>
                <w:sz w:val="31"/>
                <w:szCs w:val="31"/>
              </w:rPr>
              <w:t>福建省电力零售套餐参数表</w:t>
            </w:r>
          </w:p>
          <w:p w14:paraId="0B93EC57">
            <w:pPr>
              <w:spacing w:before="1"/>
              <w:ind w:left="3435"/>
              <w:rPr>
                <w:rFonts w:ascii="方正小标宋简体" w:hAnsi="方正小标宋简体" w:eastAsia="方正小标宋简体" w:cs="方正小标宋简体"/>
                <w:sz w:val="28"/>
                <w:szCs w:val="28"/>
              </w:rPr>
            </w:pPr>
            <w:r>
              <w:rPr>
                <w:rFonts w:ascii="方正小标宋简体" w:hAnsi="方正小标宋简体" w:eastAsia="方正小标宋简体" w:cs="方正小标宋简体"/>
                <w:spacing w:val="3"/>
                <w:sz w:val="28"/>
                <w:szCs w:val="28"/>
              </w:rPr>
              <w:t>（常规电能量套餐）</w:t>
            </w:r>
          </w:p>
        </w:tc>
      </w:tr>
      <w:tr w14:paraId="797354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9428" w:type="dxa"/>
            <w:gridSpan w:val="3"/>
            <w:vAlign w:val="top"/>
          </w:tcPr>
          <w:p w14:paraId="52CED221">
            <w:pPr>
              <w:pStyle w:val="10"/>
              <w:spacing w:before="129" w:line="215" w:lineRule="auto"/>
              <w:ind w:left="8003"/>
              <w:rPr>
                <w:rFonts w:ascii="宋体" w:hAnsi="宋体" w:eastAsia="宋体" w:cs="宋体"/>
              </w:rPr>
            </w:pPr>
            <w:r>
              <w:rPr>
                <w:b/>
                <w:bCs/>
                <w:spacing w:val="-4"/>
              </w:rPr>
              <w:t>单位：元</w:t>
            </w:r>
            <w:r>
              <w:rPr>
                <w:rFonts w:ascii="宋体" w:hAnsi="宋体" w:eastAsia="宋体" w:cs="宋体"/>
                <w:b/>
                <w:bCs/>
                <w:spacing w:val="-4"/>
              </w:rPr>
              <w:t>/MWh</w:t>
            </w:r>
          </w:p>
        </w:tc>
      </w:tr>
      <w:tr w14:paraId="134BC5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89" w:type="dxa"/>
            <w:vAlign w:val="top"/>
          </w:tcPr>
          <w:p w14:paraId="70DD9046">
            <w:pPr>
              <w:pStyle w:val="10"/>
              <w:spacing w:before="113" w:line="216" w:lineRule="auto"/>
              <w:ind w:left="467"/>
            </w:pPr>
            <w:r>
              <w:rPr>
                <w:b/>
                <w:bCs/>
                <w:spacing w:val="-6"/>
              </w:rPr>
              <w:t>交易月份</w:t>
            </w:r>
          </w:p>
        </w:tc>
        <w:tc>
          <w:tcPr>
            <w:tcW w:w="7639" w:type="dxa"/>
            <w:gridSpan w:val="2"/>
            <w:vAlign w:val="top"/>
          </w:tcPr>
          <w:p w14:paraId="3013A197">
            <w:pPr>
              <w:pStyle w:val="10"/>
              <w:spacing w:before="113" w:line="216" w:lineRule="auto"/>
              <w:ind w:left="168"/>
            </w:pPr>
            <w:r>
              <w:rPr>
                <w:rFonts w:hint="eastAsia"/>
                <w:spacing w:val="-38"/>
                <w:lang w:eastAsia="zh-CN"/>
              </w:rPr>
              <w:t xml:space="preserve">   </w:t>
            </w:r>
            <w:r>
              <w:rPr>
                <w:spacing w:val="-45"/>
              </w:rPr>
              <w:t xml:space="preserve"> </w:t>
            </w:r>
            <w:r>
              <w:rPr>
                <w:rFonts w:hint="eastAsia"/>
                <w:spacing w:val="-38"/>
                <w:lang w:eastAsia="zh-CN"/>
              </w:rPr>
              <w:t xml:space="preserve">   </w:t>
            </w:r>
            <w:r>
              <w:rPr>
                <w:spacing w:val="-48"/>
              </w:rPr>
              <w:t xml:space="preserve"> </w:t>
            </w:r>
            <w:r>
              <w:rPr>
                <w:rFonts w:hint="eastAsia"/>
                <w:spacing w:val="-38"/>
                <w:lang w:eastAsia="zh-CN"/>
              </w:rPr>
              <w:t xml:space="preserve">   </w:t>
            </w:r>
            <w:r>
              <w:rPr>
                <w:spacing w:val="-46"/>
              </w:rPr>
              <w:t xml:space="preserve"> </w:t>
            </w:r>
            <w:r>
              <w:rPr>
                <w:rFonts w:hint="eastAsia"/>
                <w:spacing w:val="-38"/>
                <w:lang w:eastAsia="zh-CN"/>
              </w:rPr>
              <w:t xml:space="preserve">   </w:t>
            </w:r>
            <w:r>
              <w:rPr>
                <w:spacing w:val="-38"/>
              </w:rPr>
              <w:t>年</w:t>
            </w:r>
            <w:r>
              <w:rPr>
                <w:rFonts w:hint="eastAsia"/>
                <w:spacing w:val="-38"/>
                <w:lang w:eastAsia="zh-CN"/>
              </w:rPr>
              <w:t xml:space="preserve">   </w:t>
            </w:r>
            <w:r>
              <w:rPr>
                <w:spacing w:val="-45"/>
              </w:rPr>
              <w:t xml:space="preserve"> </w:t>
            </w:r>
            <w:r>
              <w:rPr>
                <w:rFonts w:hint="eastAsia"/>
                <w:spacing w:val="-38"/>
                <w:lang w:eastAsia="zh-CN"/>
              </w:rPr>
              <w:t xml:space="preserve">   </w:t>
            </w:r>
            <w:r>
              <w:rPr>
                <w:spacing w:val="-38"/>
              </w:rPr>
              <w:t>月</w:t>
            </w:r>
          </w:p>
        </w:tc>
      </w:tr>
      <w:tr w14:paraId="7655BE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789" w:type="dxa"/>
            <w:vMerge w:val="restart"/>
            <w:tcBorders>
              <w:bottom w:val="nil"/>
            </w:tcBorders>
            <w:vAlign w:val="top"/>
          </w:tcPr>
          <w:p w14:paraId="06730670">
            <w:pPr>
              <w:spacing w:line="397" w:lineRule="auto"/>
              <w:rPr>
                <w:rFonts w:ascii="Arial"/>
                <w:sz w:val="21"/>
              </w:rPr>
            </w:pPr>
          </w:p>
          <w:p w14:paraId="641E8F1C">
            <w:pPr>
              <w:pStyle w:val="10"/>
              <w:spacing w:before="72" w:line="262" w:lineRule="auto"/>
              <w:ind w:left="451" w:right="449" w:firstLine="33"/>
            </w:pPr>
            <w:r>
              <w:rPr>
                <w:b/>
                <w:bCs/>
                <w:spacing w:val="-11"/>
              </w:rPr>
              <w:t>电力用户</w:t>
            </w:r>
            <w:r>
              <w:rPr>
                <w:b/>
                <w:bCs/>
                <w:spacing w:val="-2"/>
              </w:rPr>
              <w:t>（甲方）</w:t>
            </w:r>
          </w:p>
        </w:tc>
        <w:tc>
          <w:tcPr>
            <w:tcW w:w="2951" w:type="dxa"/>
            <w:vAlign w:val="top"/>
          </w:tcPr>
          <w:p w14:paraId="766A1BCC">
            <w:pPr>
              <w:pStyle w:val="10"/>
              <w:spacing w:before="71" w:line="217" w:lineRule="auto"/>
              <w:ind w:left="111"/>
            </w:pPr>
            <w:r>
              <w:rPr>
                <w:spacing w:val="-2"/>
              </w:rPr>
              <w:t>公司名称：</w:t>
            </w:r>
          </w:p>
        </w:tc>
        <w:tc>
          <w:tcPr>
            <w:tcW w:w="4688" w:type="dxa"/>
            <w:vAlign w:val="top"/>
          </w:tcPr>
          <w:p w14:paraId="6042AEDA">
            <w:pPr>
              <w:pStyle w:val="10"/>
              <w:spacing w:before="72" w:line="214" w:lineRule="auto"/>
              <w:ind w:left="508"/>
              <w:rPr>
                <w:rFonts w:hint="default"/>
                <w:lang w:val="en-US"/>
              </w:rPr>
            </w:pPr>
            <w:r>
              <w:rPr>
                <w:rFonts w:hint="eastAsia"/>
                <w:spacing w:val="-3"/>
                <w:u w:val="single" w:color="auto"/>
                <w:lang w:val="en-US" w:eastAsia="zh-CN"/>
              </w:rPr>
              <w:t xml:space="preserve">                                  </w:t>
            </w:r>
          </w:p>
        </w:tc>
      </w:tr>
      <w:tr w14:paraId="2222B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789" w:type="dxa"/>
            <w:vMerge w:val="continue"/>
            <w:tcBorders>
              <w:top w:val="nil"/>
              <w:bottom w:val="nil"/>
            </w:tcBorders>
            <w:vAlign w:val="top"/>
          </w:tcPr>
          <w:p w14:paraId="30376BB1">
            <w:pPr>
              <w:rPr>
                <w:rFonts w:ascii="Arial"/>
                <w:sz w:val="21"/>
              </w:rPr>
            </w:pPr>
          </w:p>
        </w:tc>
        <w:tc>
          <w:tcPr>
            <w:tcW w:w="2951" w:type="dxa"/>
            <w:vAlign w:val="top"/>
          </w:tcPr>
          <w:p w14:paraId="679AC318">
            <w:pPr>
              <w:pStyle w:val="10"/>
              <w:spacing w:before="71" w:line="216" w:lineRule="auto"/>
              <w:ind w:left="123"/>
            </w:pPr>
            <w:r>
              <w:rPr>
                <w:spacing w:val="-2"/>
              </w:rPr>
              <w:t>统一社会信用代码：</w:t>
            </w:r>
          </w:p>
        </w:tc>
        <w:tc>
          <w:tcPr>
            <w:tcW w:w="4688" w:type="dxa"/>
            <w:vAlign w:val="top"/>
          </w:tcPr>
          <w:p w14:paraId="0FA9E64E">
            <w:pPr>
              <w:pStyle w:val="10"/>
              <w:spacing w:before="72" w:line="214" w:lineRule="auto"/>
              <w:ind w:left="508"/>
            </w:pPr>
            <w:r>
              <w:rPr>
                <w:spacing w:val="-3"/>
                <w:u w:val="single" w:color="auto"/>
              </w:rPr>
              <w:t>以福建电力零售交易平台登记信息为准</w:t>
            </w:r>
          </w:p>
        </w:tc>
      </w:tr>
      <w:tr w14:paraId="6D6C3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789" w:type="dxa"/>
            <w:vMerge w:val="continue"/>
            <w:tcBorders>
              <w:top w:val="nil"/>
              <w:bottom w:val="nil"/>
            </w:tcBorders>
            <w:vAlign w:val="top"/>
          </w:tcPr>
          <w:p w14:paraId="6939C567">
            <w:pPr>
              <w:rPr>
                <w:rFonts w:ascii="Arial"/>
                <w:sz w:val="21"/>
              </w:rPr>
            </w:pPr>
          </w:p>
        </w:tc>
        <w:tc>
          <w:tcPr>
            <w:tcW w:w="2951" w:type="dxa"/>
            <w:vAlign w:val="top"/>
          </w:tcPr>
          <w:p w14:paraId="71153B75">
            <w:pPr>
              <w:pStyle w:val="10"/>
              <w:spacing w:before="71" w:line="214" w:lineRule="auto"/>
              <w:ind w:left="144"/>
            </w:pPr>
            <w:r>
              <w:rPr>
                <w:spacing w:val="-7"/>
              </w:rPr>
              <w:t>甲方联系人：</w:t>
            </w:r>
          </w:p>
        </w:tc>
        <w:tc>
          <w:tcPr>
            <w:tcW w:w="4688" w:type="dxa"/>
            <w:vAlign w:val="top"/>
          </w:tcPr>
          <w:p w14:paraId="6BDB7CB2">
            <w:pPr>
              <w:pStyle w:val="10"/>
              <w:spacing w:before="71" w:line="214" w:lineRule="auto"/>
              <w:ind w:left="508"/>
            </w:pPr>
            <w:r>
              <w:rPr>
                <w:spacing w:val="-3"/>
                <w:u w:val="single" w:color="auto"/>
              </w:rPr>
              <w:t>以福建电力零售交易平台登记信息为准</w:t>
            </w:r>
          </w:p>
        </w:tc>
      </w:tr>
      <w:tr w14:paraId="241306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789" w:type="dxa"/>
            <w:vMerge w:val="continue"/>
            <w:tcBorders>
              <w:top w:val="nil"/>
            </w:tcBorders>
            <w:vAlign w:val="top"/>
          </w:tcPr>
          <w:p w14:paraId="1004410B">
            <w:pPr>
              <w:rPr>
                <w:rFonts w:ascii="Arial"/>
                <w:sz w:val="21"/>
              </w:rPr>
            </w:pPr>
          </w:p>
        </w:tc>
        <w:tc>
          <w:tcPr>
            <w:tcW w:w="2951" w:type="dxa"/>
            <w:vAlign w:val="top"/>
          </w:tcPr>
          <w:p w14:paraId="6DFD6049">
            <w:pPr>
              <w:pStyle w:val="10"/>
              <w:spacing w:before="71" w:line="214" w:lineRule="auto"/>
              <w:ind w:left="112"/>
            </w:pPr>
            <w:r>
              <w:rPr>
                <w:spacing w:val="-2"/>
              </w:rPr>
              <w:t>联系电话：</w:t>
            </w:r>
          </w:p>
        </w:tc>
        <w:tc>
          <w:tcPr>
            <w:tcW w:w="4688" w:type="dxa"/>
            <w:vAlign w:val="top"/>
          </w:tcPr>
          <w:p w14:paraId="785005A7">
            <w:pPr>
              <w:pStyle w:val="10"/>
              <w:spacing w:before="71" w:line="214" w:lineRule="auto"/>
              <w:ind w:left="508"/>
            </w:pPr>
            <w:r>
              <w:rPr>
                <w:spacing w:val="-3"/>
                <w:u w:val="single" w:color="auto"/>
              </w:rPr>
              <w:t>以福建电力零售交易平台登记信息为准</w:t>
            </w:r>
          </w:p>
        </w:tc>
      </w:tr>
      <w:tr w14:paraId="219C76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789" w:type="dxa"/>
            <w:vMerge w:val="restart"/>
            <w:tcBorders>
              <w:bottom w:val="nil"/>
            </w:tcBorders>
            <w:vAlign w:val="top"/>
          </w:tcPr>
          <w:p w14:paraId="11A8ED07">
            <w:pPr>
              <w:spacing w:line="397" w:lineRule="auto"/>
              <w:rPr>
                <w:rFonts w:ascii="Arial"/>
                <w:sz w:val="21"/>
              </w:rPr>
            </w:pPr>
          </w:p>
          <w:p w14:paraId="493D85CA">
            <w:pPr>
              <w:pStyle w:val="10"/>
              <w:spacing w:before="72" w:line="264" w:lineRule="auto"/>
              <w:ind w:left="451" w:right="449" w:firstLine="9"/>
            </w:pPr>
            <w:r>
              <w:rPr>
                <w:b/>
                <w:bCs/>
                <w:spacing w:val="-5"/>
              </w:rPr>
              <w:t>售电公司</w:t>
            </w:r>
            <w:r>
              <w:rPr>
                <w:b/>
                <w:bCs/>
                <w:spacing w:val="-2"/>
              </w:rPr>
              <w:t>（乙方）</w:t>
            </w:r>
          </w:p>
        </w:tc>
        <w:tc>
          <w:tcPr>
            <w:tcW w:w="2951" w:type="dxa"/>
            <w:vAlign w:val="top"/>
          </w:tcPr>
          <w:p w14:paraId="59C58AA2">
            <w:pPr>
              <w:pStyle w:val="10"/>
              <w:spacing w:before="72" w:line="217" w:lineRule="auto"/>
              <w:ind w:left="111"/>
            </w:pPr>
            <w:r>
              <w:rPr>
                <w:spacing w:val="-2"/>
              </w:rPr>
              <w:t>公司名称：</w:t>
            </w:r>
          </w:p>
        </w:tc>
        <w:tc>
          <w:tcPr>
            <w:tcW w:w="4688" w:type="dxa"/>
            <w:vAlign w:val="top"/>
          </w:tcPr>
          <w:p w14:paraId="1B57929B">
            <w:pPr>
              <w:pStyle w:val="10"/>
              <w:spacing w:before="73" w:line="214" w:lineRule="auto"/>
              <w:ind w:left="729"/>
              <w:rPr>
                <w:rFonts w:hint="default" w:eastAsia="FangSong_GB2312"/>
                <w:lang w:val="en-US" w:eastAsia="zh-CN"/>
              </w:rPr>
            </w:pPr>
            <w:r>
              <w:rPr>
                <w:rFonts w:hint="eastAsia"/>
                <w:spacing w:val="-3"/>
                <w:u w:val="single" w:color="auto"/>
                <w:lang w:val="en-US" w:eastAsia="zh-CN"/>
              </w:rPr>
              <w:t xml:space="preserve"> </w:t>
            </w:r>
          </w:p>
        </w:tc>
      </w:tr>
      <w:tr w14:paraId="1B6431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789" w:type="dxa"/>
            <w:vMerge w:val="continue"/>
            <w:tcBorders>
              <w:top w:val="nil"/>
              <w:bottom w:val="nil"/>
            </w:tcBorders>
            <w:vAlign w:val="top"/>
          </w:tcPr>
          <w:p w14:paraId="4D6DAA01">
            <w:pPr>
              <w:rPr>
                <w:rFonts w:ascii="Arial"/>
                <w:sz w:val="21"/>
              </w:rPr>
            </w:pPr>
          </w:p>
        </w:tc>
        <w:tc>
          <w:tcPr>
            <w:tcW w:w="2951" w:type="dxa"/>
            <w:vAlign w:val="top"/>
          </w:tcPr>
          <w:p w14:paraId="1A0BD4AD">
            <w:pPr>
              <w:pStyle w:val="10"/>
              <w:spacing w:before="72" w:line="216" w:lineRule="auto"/>
              <w:ind w:left="123"/>
            </w:pPr>
            <w:r>
              <w:rPr>
                <w:spacing w:val="-2"/>
              </w:rPr>
              <w:t>统一社会信用代码：</w:t>
            </w:r>
          </w:p>
        </w:tc>
        <w:tc>
          <w:tcPr>
            <w:tcW w:w="4688" w:type="dxa"/>
            <w:vAlign w:val="top"/>
          </w:tcPr>
          <w:p w14:paraId="1B989142">
            <w:pPr>
              <w:pStyle w:val="10"/>
              <w:spacing w:before="72" w:line="214" w:lineRule="auto"/>
              <w:ind w:left="729"/>
            </w:pPr>
            <w:r>
              <w:rPr>
                <w:spacing w:val="-3"/>
                <w:u w:val="single" w:color="auto"/>
              </w:rPr>
              <w:t>以福建电力交易平台登记信息为准</w:t>
            </w:r>
          </w:p>
        </w:tc>
      </w:tr>
      <w:tr w14:paraId="11F3F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789" w:type="dxa"/>
            <w:vMerge w:val="continue"/>
            <w:tcBorders>
              <w:top w:val="nil"/>
              <w:bottom w:val="nil"/>
            </w:tcBorders>
            <w:vAlign w:val="top"/>
          </w:tcPr>
          <w:p w14:paraId="6D694379">
            <w:pPr>
              <w:rPr>
                <w:rFonts w:ascii="Arial"/>
                <w:sz w:val="21"/>
              </w:rPr>
            </w:pPr>
          </w:p>
        </w:tc>
        <w:tc>
          <w:tcPr>
            <w:tcW w:w="2951" w:type="dxa"/>
            <w:vAlign w:val="top"/>
          </w:tcPr>
          <w:p w14:paraId="71D5D8E2">
            <w:pPr>
              <w:pStyle w:val="10"/>
              <w:spacing w:before="72" w:line="214" w:lineRule="auto"/>
              <w:ind w:left="143"/>
            </w:pPr>
            <w:r>
              <w:rPr>
                <w:spacing w:val="-7"/>
              </w:rPr>
              <w:t>乙方联系人：</w:t>
            </w:r>
          </w:p>
        </w:tc>
        <w:tc>
          <w:tcPr>
            <w:tcW w:w="4688" w:type="dxa"/>
            <w:vAlign w:val="top"/>
          </w:tcPr>
          <w:p w14:paraId="35E7CA63">
            <w:pPr>
              <w:pStyle w:val="10"/>
              <w:spacing w:before="72" w:line="214" w:lineRule="auto"/>
              <w:ind w:left="729"/>
            </w:pPr>
            <w:r>
              <w:rPr>
                <w:spacing w:val="-3"/>
                <w:u w:val="single" w:color="auto"/>
              </w:rPr>
              <w:t>以福建电力交易平台登记信息为准</w:t>
            </w:r>
          </w:p>
        </w:tc>
      </w:tr>
      <w:tr w14:paraId="060DBE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789" w:type="dxa"/>
            <w:vMerge w:val="continue"/>
            <w:tcBorders>
              <w:top w:val="nil"/>
            </w:tcBorders>
            <w:vAlign w:val="top"/>
          </w:tcPr>
          <w:p w14:paraId="66063018">
            <w:pPr>
              <w:rPr>
                <w:rFonts w:ascii="Arial"/>
                <w:sz w:val="21"/>
              </w:rPr>
            </w:pPr>
          </w:p>
        </w:tc>
        <w:tc>
          <w:tcPr>
            <w:tcW w:w="2951" w:type="dxa"/>
            <w:vAlign w:val="top"/>
          </w:tcPr>
          <w:p w14:paraId="0AF7822E">
            <w:pPr>
              <w:pStyle w:val="10"/>
              <w:spacing w:before="72" w:line="214" w:lineRule="auto"/>
              <w:ind w:left="112"/>
            </w:pPr>
            <w:r>
              <w:rPr>
                <w:spacing w:val="-2"/>
              </w:rPr>
              <w:t>联系电话：</w:t>
            </w:r>
          </w:p>
        </w:tc>
        <w:tc>
          <w:tcPr>
            <w:tcW w:w="4688" w:type="dxa"/>
            <w:vAlign w:val="top"/>
          </w:tcPr>
          <w:p w14:paraId="0337F588">
            <w:pPr>
              <w:pStyle w:val="10"/>
              <w:spacing w:before="72" w:line="214" w:lineRule="auto"/>
              <w:ind w:left="729"/>
            </w:pPr>
            <w:r>
              <w:rPr>
                <w:spacing w:val="-3"/>
                <w:u w:val="single" w:color="auto"/>
              </w:rPr>
              <w:t>以福建电力交易平台登记信息为准</w:t>
            </w:r>
          </w:p>
        </w:tc>
      </w:tr>
      <w:tr w14:paraId="622825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789" w:type="dxa"/>
            <w:vAlign w:val="top"/>
          </w:tcPr>
          <w:p w14:paraId="0417D84B">
            <w:pPr>
              <w:pStyle w:val="10"/>
              <w:spacing w:before="114" w:line="217" w:lineRule="auto"/>
              <w:ind w:left="246"/>
            </w:pPr>
            <w:r>
              <w:rPr>
                <w:b/>
                <w:bCs/>
                <w:spacing w:val="-5"/>
              </w:rPr>
              <w:t>交易履约周期</w:t>
            </w:r>
          </w:p>
        </w:tc>
        <w:tc>
          <w:tcPr>
            <w:tcW w:w="7639" w:type="dxa"/>
            <w:gridSpan w:val="2"/>
            <w:vAlign w:val="top"/>
          </w:tcPr>
          <w:p w14:paraId="4D4C8F25">
            <w:pPr>
              <w:pStyle w:val="10"/>
              <w:spacing w:before="114" w:line="216" w:lineRule="auto"/>
              <w:ind w:firstLine="1562" w:firstLineChars="1100"/>
            </w:pPr>
            <w:r>
              <w:rPr>
                <w:rFonts w:hint="eastAsia"/>
                <w:spacing w:val="-39"/>
                <w:lang w:eastAsia="zh-CN"/>
              </w:rPr>
              <w:t xml:space="preserve">  </w:t>
            </w:r>
            <w:r>
              <w:rPr>
                <w:spacing w:val="-48"/>
              </w:rPr>
              <w:t xml:space="preserve"> </w:t>
            </w:r>
            <w:r>
              <w:rPr>
                <w:rFonts w:hint="eastAsia"/>
                <w:spacing w:val="-39"/>
                <w:lang w:eastAsia="zh-CN"/>
              </w:rPr>
              <w:t xml:space="preserve">   </w:t>
            </w:r>
            <w:r>
              <w:rPr>
                <w:spacing w:val="-45"/>
              </w:rPr>
              <w:t xml:space="preserve"> </w:t>
            </w:r>
            <w:r>
              <w:rPr>
                <w:rFonts w:hint="eastAsia"/>
                <w:spacing w:val="-39"/>
                <w:lang w:eastAsia="zh-CN"/>
              </w:rPr>
              <w:t xml:space="preserve">   </w:t>
            </w:r>
            <w:r>
              <w:rPr>
                <w:spacing w:val="-39"/>
              </w:rPr>
              <w:t>年</w:t>
            </w:r>
            <w:r>
              <w:rPr>
                <w:rFonts w:hint="eastAsia"/>
                <w:spacing w:val="-39"/>
                <w:lang w:eastAsia="zh-CN"/>
              </w:rPr>
              <w:t xml:space="preserve">   </w:t>
            </w:r>
            <w:r>
              <w:rPr>
                <w:spacing w:val="-46"/>
              </w:rPr>
              <w:t xml:space="preserve"> </w:t>
            </w:r>
            <w:r>
              <w:rPr>
                <w:rFonts w:hint="eastAsia"/>
                <w:spacing w:val="-39"/>
                <w:lang w:eastAsia="zh-CN"/>
              </w:rPr>
              <w:t xml:space="preserve">   </w:t>
            </w:r>
            <w:r>
              <w:rPr>
                <w:spacing w:val="-90"/>
              </w:rPr>
              <w:t xml:space="preserve"> </w:t>
            </w:r>
            <w:r>
              <w:rPr>
                <w:spacing w:val="-39"/>
              </w:rPr>
              <w:t>月</w:t>
            </w:r>
            <w:r>
              <w:rPr>
                <w:rFonts w:hint="eastAsia"/>
                <w:spacing w:val="-39"/>
                <w:lang w:val="en-US" w:eastAsia="zh-CN"/>
              </w:rPr>
              <w:t xml:space="preserve"> </w:t>
            </w:r>
            <w:r>
              <w:rPr>
                <w:spacing w:val="-39"/>
              </w:rPr>
              <w:t>至</w:t>
            </w:r>
            <w:r>
              <w:rPr>
                <w:spacing w:val="-48"/>
              </w:rPr>
              <w:t xml:space="preserve"> </w:t>
            </w:r>
            <w:r>
              <w:rPr>
                <w:rFonts w:hint="eastAsia"/>
                <w:spacing w:val="-39"/>
                <w:lang w:eastAsia="zh-CN"/>
              </w:rPr>
              <w:t xml:space="preserve">   </w:t>
            </w:r>
            <w:r>
              <w:rPr>
                <w:spacing w:val="-45"/>
              </w:rPr>
              <w:t xml:space="preserve"> </w:t>
            </w:r>
            <w:r>
              <w:rPr>
                <w:rFonts w:hint="eastAsia"/>
                <w:spacing w:val="-39"/>
                <w:lang w:eastAsia="zh-CN"/>
              </w:rPr>
              <w:t xml:space="preserve">   </w:t>
            </w:r>
            <w:r>
              <w:rPr>
                <w:rFonts w:hint="eastAsia"/>
                <w:spacing w:val="-39"/>
                <w:lang w:val="en-US" w:eastAsia="zh-CN"/>
              </w:rPr>
              <w:t xml:space="preserve"> </w:t>
            </w:r>
            <w:r>
              <w:rPr>
                <w:spacing w:val="-39"/>
              </w:rPr>
              <w:t>年</w:t>
            </w:r>
            <w:r>
              <w:rPr>
                <w:rFonts w:hint="eastAsia"/>
                <w:spacing w:val="-39"/>
                <w:lang w:eastAsia="zh-CN"/>
              </w:rPr>
              <w:t xml:space="preserve">   </w:t>
            </w:r>
            <w:r>
              <w:rPr>
                <w:spacing w:val="-45"/>
              </w:rPr>
              <w:t xml:space="preserve"> </w:t>
            </w:r>
            <w:r>
              <w:rPr>
                <w:rFonts w:hint="eastAsia"/>
                <w:spacing w:val="-39"/>
                <w:lang w:eastAsia="zh-CN"/>
              </w:rPr>
              <w:t xml:space="preserve">   </w:t>
            </w:r>
            <w:r>
              <w:rPr>
                <w:spacing w:val="-91"/>
              </w:rPr>
              <w:t xml:space="preserve"> </w:t>
            </w:r>
            <w:r>
              <w:rPr>
                <w:spacing w:val="-39"/>
              </w:rPr>
              <w:t>月</w:t>
            </w:r>
          </w:p>
        </w:tc>
      </w:tr>
      <w:tr w14:paraId="37B28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789" w:type="dxa"/>
            <w:vAlign w:val="top"/>
          </w:tcPr>
          <w:p w14:paraId="1D87A590">
            <w:pPr>
              <w:pStyle w:val="10"/>
              <w:spacing w:before="231" w:line="214" w:lineRule="auto"/>
              <w:ind w:left="237"/>
            </w:pPr>
            <w:r>
              <w:rPr>
                <w:b/>
                <w:bCs/>
                <w:spacing w:val="-3"/>
              </w:rPr>
              <w:t>零售套餐类别</w:t>
            </w:r>
          </w:p>
        </w:tc>
        <w:tc>
          <w:tcPr>
            <w:tcW w:w="7639" w:type="dxa"/>
            <w:gridSpan w:val="2"/>
            <w:vAlign w:val="top"/>
          </w:tcPr>
          <w:p w14:paraId="259F6E65">
            <w:pPr>
              <w:pStyle w:val="10"/>
              <w:spacing w:before="74" w:line="215" w:lineRule="auto"/>
              <w:ind w:left="933"/>
              <w:rPr>
                <w:rFonts w:ascii="宋体" w:hAnsi="宋体" w:eastAsia="宋体" w:cs="宋体"/>
              </w:rPr>
            </w:pPr>
            <w:r>
              <w:rPr>
                <w:spacing w:val="-2"/>
              </w:rPr>
              <w:sym w:font="Wingdings 2" w:char="00A3"/>
            </w:r>
            <w:r>
              <w:rPr>
                <w:spacing w:val="-2"/>
              </w:rPr>
              <w:t xml:space="preserve">固定价格套餐 </w:t>
            </w:r>
            <w:r>
              <w:rPr>
                <w:rFonts w:ascii="宋体" w:hAnsi="宋体" w:eastAsia="宋体" w:cs="宋体"/>
                <w:spacing w:val="-2"/>
              </w:rPr>
              <w:t>/</w:t>
            </w:r>
            <w:r>
              <w:rPr>
                <w:rFonts w:ascii="宋体" w:hAnsi="宋体" w:eastAsia="宋体" w:cs="宋体"/>
                <w:spacing w:val="34"/>
              </w:rPr>
              <w:t xml:space="preserve"> </w:t>
            </w:r>
            <w:r>
              <w:rPr>
                <w:spacing w:val="-2"/>
              </w:rPr>
              <w:t>□市场均价</w:t>
            </w:r>
            <w:r>
              <w:rPr>
                <w:rFonts w:ascii="宋体" w:hAnsi="宋体" w:eastAsia="宋体" w:cs="宋体"/>
                <w:spacing w:val="-2"/>
              </w:rPr>
              <w:t>+</w:t>
            </w:r>
            <w:r>
              <w:rPr>
                <w:spacing w:val="-2"/>
              </w:rPr>
              <w:t>服务费套餐（不分时段</w:t>
            </w:r>
            <w:r>
              <w:rPr>
                <w:spacing w:val="-3"/>
              </w:rPr>
              <w:t xml:space="preserve">） </w:t>
            </w:r>
            <w:r>
              <w:rPr>
                <w:rFonts w:ascii="宋体" w:hAnsi="宋体" w:eastAsia="宋体" w:cs="宋体"/>
                <w:spacing w:val="-3"/>
              </w:rPr>
              <w:t>/</w:t>
            </w:r>
          </w:p>
          <w:p w14:paraId="4F0884B7">
            <w:pPr>
              <w:pStyle w:val="10"/>
              <w:spacing w:before="55" w:line="215" w:lineRule="auto"/>
              <w:ind w:left="714"/>
            </w:pPr>
            <w:r>
              <w:rPr>
                <w:spacing w:val="-3"/>
              </w:rPr>
              <w:t>□市场均价</w:t>
            </w:r>
            <w:r>
              <w:rPr>
                <w:rFonts w:ascii="宋体" w:hAnsi="宋体" w:eastAsia="宋体" w:cs="宋体"/>
                <w:spacing w:val="-3"/>
              </w:rPr>
              <w:t>+</w:t>
            </w:r>
            <w:r>
              <w:rPr>
                <w:spacing w:val="-3"/>
              </w:rPr>
              <w:t>服务费套餐（分</w:t>
            </w:r>
            <w:r>
              <w:rPr>
                <w:rFonts w:ascii="宋体" w:hAnsi="宋体" w:eastAsia="宋体" w:cs="宋体"/>
                <w:spacing w:val="-3"/>
              </w:rPr>
              <w:t>24</w:t>
            </w:r>
            <w:r>
              <w:rPr>
                <w:spacing w:val="-3"/>
              </w:rPr>
              <w:t xml:space="preserve">个时段） </w:t>
            </w:r>
            <w:r>
              <w:rPr>
                <w:rFonts w:ascii="宋体" w:hAnsi="宋体" w:eastAsia="宋体" w:cs="宋体"/>
                <w:spacing w:val="-3"/>
              </w:rPr>
              <w:t>/</w:t>
            </w:r>
            <w:r>
              <w:rPr>
                <w:rFonts w:ascii="宋体" w:hAnsi="宋体" w:eastAsia="宋体" w:cs="宋体"/>
                <w:spacing w:val="32"/>
              </w:rPr>
              <w:t xml:space="preserve"> </w:t>
            </w:r>
            <w:r>
              <w:rPr>
                <w:spacing w:val="-3"/>
              </w:rPr>
              <w:t>□价差分享</w:t>
            </w:r>
            <w:r>
              <w:rPr>
                <w:rFonts w:ascii="宋体" w:hAnsi="宋体" w:eastAsia="宋体" w:cs="宋体"/>
                <w:spacing w:val="-3"/>
              </w:rPr>
              <w:t>/</w:t>
            </w:r>
            <w:r>
              <w:rPr>
                <w:spacing w:val="-3"/>
              </w:rPr>
              <w:t>分摊套餐</w:t>
            </w:r>
          </w:p>
        </w:tc>
      </w:tr>
      <w:tr w14:paraId="33BD61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428" w:type="dxa"/>
            <w:gridSpan w:val="3"/>
            <w:vAlign w:val="top"/>
          </w:tcPr>
          <w:p w14:paraId="35698293">
            <w:pPr>
              <w:pStyle w:val="10"/>
              <w:spacing w:before="114" w:line="215" w:lineRule="auto"/>
              <w:ind w:left="3742"/>
            </w:pPr>
            <w:r>
              <w:rPr>
                <w:rFonts w:ascii="宋体" w:hAnsi="宋体" w:eastAsia="宋体" w:cs="宋体"/>
                <w:b/>
                <w:bCs/>
                <w:spacing w:val="-5"/>
              </w:rPr>
              <w:t>1.</w:t>
            </w:r>
            <w:r>
              <w:rPr>
                <w:b/>
                <w:bCs/>
                <w:spacing w:val="-5"/>
              </w:rPr>
              <w:t>固定价格套餐参数</w:t>
            </w:r>
          </w:p>
        </w:tc>
      </w:tr>
      <w:tr w14:paraId="1D4B64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40" w:type="dxa"/>
            <w:gridSpan w:val="2"/>
            <w:vAlign w:val="top"/>
          </w:tcPr>
          <w:p w14:paraId="18CBA88E">
            <w:pPr>
              <w:pStyle w:val="10"/>
              <w:spacing w:before="82" w:line="202" w:lineRule="auto"/>
              <w:ind w:left="1794"/>
              <w:rPr>
                <w:rFonts w:ascii="Times New Roman" w:hAnsi="Times New Roman" w:eastAsia="Times New Roman" w:cs="Times New Roman"/>
                <w:sz w:val="31"/>
                <w:szCs w:val="31"/>
              </w:rPr>
            </w:pPr>
            <w:r>
              <w:rPr>
                <w:spacing w:val="8"/>
              </w:rPr>
              <w:t>套餐电价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8"/>
                <w:position w:val="3"/>
                <w:sz w:val="31"/>
                <w:szCs w:val="31"/>
              </w:rPr>
              <w:t>P</w:t>
            </w:r>
          </w:p>
        </w:tc>
        <w:tc>
          <w:tcPr>
            <w:tcW w:w="4688" w:type="dxa"/>
            <w:vAlign w:val="top"/>
          </w:tcPr>
          <w:p w14:paraId="405F2538">
            <w:pPr>
              <w:pStyle w:val="10"/>
              <w:spacing w:before="150" w:line="214" w:lineRule="auto"/>
              <w:ind w:firstLine="880" w:firstLineChars="400"/>
            </w:pPr>
            <w:r>
              <w:rPr>
                <w:rFonts w:hint="eastAsia"/>
                <w:u w:val="single" w:color="auto"/>
                <w:lang w:val="en-US" w:eastAsia="zh-CN"/>
              </w:rPr>
              <w:t xml:space="preserve">         </w:t>
            </w:r>
            <w:r>
              <w:t>（保留小数点后三位）</w:t>
            </w:r>
          </w:p>
        </w:tc>
      </w:tr>
      <w:tr w14:paraId="77FF07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428" w:type="dxa"/>
            <w:gridSpan w:val="3"/>
            <w:vAlign w:val="top"/>
          </w:tcPr>
          <w:p w14:paraId="0E388E55">
            <w:pPr>
              <w:pStyle w:val="10"/>
              <w:spacing w:before="113" w:line="215" w:lineRule="auto"/>
              <w:ind w:left="2679"/>
            </w:pPr>
            <w:r>
              <w:rPr>
                <w:rFonts w:ascii="宋体" w:hAnsi="宋体" w:eastAsia="宋体" w:cs="宋体"/>
                <w:b/>
                <w:bCs/>
                <w:spacing w:val="-3"/>
              </w:rPr>
              <w:t>2.</w:t>
            </w:r>
            <w:r>
              <w:rPr>
                <w:b/>
                <w:bCs/>
                <w:spacing w:val="-3"/>
              </w:rPr>
              <w:t>市场均价</w:t>
            </w:r>
            <w:r>
              <w:rPr>
                <w:rFonts w:ascii="宋体" w:hAnsi="宋体" w:eastAsia="宋体" w:cs="宋体"/>
                <w:b/>
                <w:bCs/>
                <w:spacing w:val="-3"/>
              </w:rPr>
              <w:t>+</w:t>
            </w:r>
            <w:r>
              <w:rPr>
                <w:b/>
                <w:bCs/>
                <w:spacing w:val="-3"/>
              </w:rPr>
              <w:t>服务费套餐参数（不分时段）</w:t>
            </w:r>
          </w:p>
        </w:tc>
      </w:tr>
      <w:tr w14:paraId="7E77B0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740" w:type="dxa"/>
            <w:gridSpan w:val="2"/>
            <w:vAlign w:val="top"/>
          </w:tcPr>
          <w:p w14:paraId="6A8F1E72">
            <w:pPr>
              <w:pStyle w:val="10"/>
              <w:spacing w:before="149" w:line="204" w:lineRule="auto"/>
              <w:ind w:left="1716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spacing w:val="1"/>
              </w:rPr>
              <w:t>市场均价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"/>
                <w:sz w:val="27"/>
                <w:szCs w:val="27"/>
              </w:rPr>
              <w:t>P</w:t>
            </w:r>
            <w:r>
              <w:rPr>
                <w:rFonts w:ascii="宋体" w:hAnsi="宋体" w:eastAsia="宋体" w:cs="宋体"/>
                <w:spacing w:val="1"/>
                <w:position w:val="-6"/>
                <w:sz w:val="11"/>
                <w:szCs w:val="11"/>
              </w:rPr>
              <w:t>均价</w:t>
            </w:r>
          </w:p>
        </w:tc>
        <w:tc>
          <w:tcPr>
            <w:tcW w:w="4688" w:type="dxa"/>
            <w:vAlign w:val="top"/>
          </w:tcPr>
          <w:p w14:paraId="0B3A8C24">
            <w:pPr>
              <w:pStyle w:val="10"/>
              <w:spacing w:before="149" w:line="214" w:lineRule="auto"/>
              <w:ind w:left="1948"/>
            </w:pPr>
            <w:r>
              <w:rPr>
                <w:spacing w:val="-12"/>
              </w:rPr>
              <w:t>自动计算</w:t>
            </w:r>
          </w:p>
        </w:tc>
      </w:tr>
      <w:tr w14:paraId="79118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40" w:type="dxa"/>
            <w:gridSpan w:val="2"/>
            <w:vAlign w:val="top"/>
          </w:tcPr>
          <w:p w14:paraId="51C74BA5">
            <w:pPr>
              <w:pStyle w:val="10"/>
              <w:spacing w:before="150" w:line="195" w:lineRule="auto"/>
              <w:ind w:left="1687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spacing w:val="6"/>
              </w:rPr>
              <w:t>度电服务费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6"/>
                <w:sz w:val="27"/>
                <w:szCs w:val="27"/>
              </w:rPr>
              <w:t>P</w:t>
            </w:r>
            <w:r>
              <w:rPr>
                <w:rFonts w:ascii="Times New Roman" w:hAnsi="Times New Roman" w:eastAsia="Times New Roman" w:cs="Times New Roman"/>
                <w:spacing w:val="6"/>
                <w:position w:val="-6"/>
                <w:sz w:val="11"/>
                <w:szCs w:val="11"/>
              </w:rPr>
              <w:t>0</w:t>
            </w:r>
          </w:p>
        </w:tc>
        <w:tc>
          <w:tcPr>
            <w:tcW w:w="4688" w:type="dxa"/>
            <w:vAlign w:val="top"/>
          </w:tcPr>
          <w:p w14:paraId="6E3D9826">
            <w:pPr>
              <w:pStyle w:val="10"/>
              <w:tabs>
                <w:tab w:val="left" w:pos="1076"/>
              </w:tabs>
              <w:spacing w:before="150" w:line="215" w:lineRule="auto"/>
              <w:ind w:left="966"/>
            </w:pPr>
            <w:r>
              <w:rPr>
                <w:u w:val="single" w:color="auto"/>
              </w:rPr>
              <w:tab/>
            </w:r>
            <w:r>
              <w:rPr>
                <w:rFonts w:hint="eastAsia"/>
                <w:u w:val="single" w:color="auto"/>
                <w:lang w:val="en-US" w:eastAsia="zh-CN"/>
              </w:rPr>
              <w:t xml:space="preserve">       </w:t>
            </w:r>
            <w:r>
              <w:rPr>
                <w:spacing w:val="-3"/>
                <w:u w:val="none" w:color="auto"/>
              </w:rPr>
              <w:t>（保留小数点后三位</w:t>
            </w:r>
            <w:r>
              <w:rPr>
                <w:spacing w:val="-40"/>
                <w:u w:val="none" w:color="auto"/>
              </w:rPr>
              <w:t>，＞</w:t>
            </w:r>
            <w:r>
              <w:rPr>
                <w:rFonts w:ascii="宋体" w:hAnsi="宋体" w:eastAsia="宋体" w:cs="宋体"/>
                <w:spacing w:val="-3"/>
                <w:u w:val="none" w:color="auto"/>
              </w:rPr>
              <w:t>0</w:t>
            </w:r>
            <w:r>
              <w:rPr>
                <w:spacing w:val="-3"/>
                <w:u w:val="none" w:color="auto"/>
              </w:rPr>
              <w:t>）</w:t>
            </w:r>
          </w:p>
        </w:tc>
      </w:tr>
      <w:tr w14:paraId="2CDE3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9428" w:type="dxa"/>
            <w:gridSpan w:val="3"/>
            <w:vAlign w:val="top"/>
          </w:tcPr>
          <w:p w14:paraId="5F8153A3">
            <w:pPr>
              <w:pStyle w:val="10"/>
              <w:spacing w:before="114" w:line="215" w:lineRule="auto"/>
              <w:ind w:left="2515"/>
            </w:pPr>
            <w:r>
              <w:rPr>
                <w:rFonts w:ascii="宋体" w:hAnsi="宋体" w:eastAsia="宋体" w:cs="宋体"/>
                <w:b/>
                <w:bCs/>
                <w:spacing w:val="-3"/>
              </w:rPr>
              <w:t>3.</w:t>
            </w:r>
            <w:r>
              <w:rPr>
                <w:b/>
                <w:bCs/>
                <w:spacing w:val="-3"/>
              </w:rPr>
              <w:t>市场均价</w:t>
            </w:r>
            <w:r>
              <w:rPr>
                <w:rFonts w:ascii="宋体" w:hAnsi="宋体" w:eastAsia="宋体" w:cs="宋体"/>
                <w:b/>
                <w:bCs/>
                <w:spacing w:val="-3"/>
              </w:rPr>
              <w:t>+</w:t>
            </w:r>
            <w:r>
              <w:rPr>
                <w:b/>
                <w:bCs/>
                <w:spacing w:val="-3"/>
              </w:rPr>
              <w:t>服务费套餐参数（分</w:t>
            </w:r>
            <w:r>
              <w:rPr>
                <w:spacing w:val="-44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3"/>
              </w:rPr>
              <w:t>24</w:t>
            </w:r>
            <w:r>
              <w:rPr>
                <w:rFonts w:ascii="宋体" w:hAnsi="宋体" w:eastAsia="宋体" w:cs="宋体"/>
                <w:spacing w:val="-47"/>
              </w:rPr>
              <w:t xml:space="preserve"> </w:t>
            </w:r>
            <w:r>
              <w:rPr>
                <w:b/>
                <w:bCs/>
                <w:spacing w:val="-3"/>
              </w:rPr>
              <w:t>个时段）</w:t>
            </w:r>
          </w:p>
        </w:tc>
      </w:tr>
      <w:tr w14:paraId="639420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740" w:type="dxa"/>
            <w:gridSpan w:val="2"/>
            <w:vAlign w:val="top"/>
          </w:tcPr>
          <w:p w14:paraId="11984B21">
            <w:pPr>
              <w:pStyle w:val="10"/>
              <w:spacing w:before="133" w:line="189" w:lineRule="auto"/>
              <w:ind w:left="1697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spacing w:val="-2"/>
                <w:position w:val="1"/>
              </w:rPr>
              <w:t>市场均价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1"/>
                <w:sz w:val="29"/>
                <w:szCs w:val="29"/>
              </w:rPr>
              <w:t>P</w:t>
            </w:r>
            <w:r>
              <w:rPr>
                <w:rFonts w:ascii="宋体" w:hAnsi="宋体" w:eastAsia="宋体" w:cs="宋体"/>
                <w:spacing w:val="-2"/>
                <w:position w:val="-6"/>
                <w:sz w:val="12"/>
                <w:szCs w:val="12"/>
              </w:rPr>
              <w:t>均价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-6"/>
                <w:sz w:val="21"/>
                <w:szCs w:val="21"/>
              </w:rPr>
              <w:t>t</w:t>
            </w:r>
          </w:p>
        </w:tc>
        <w:tc>
          <w:tcPr>
            <w:tcW w:w="4688" w:type="dxa"/>
            <w:vAlign w:val="top"/>
          </w:tcPr>
          <w:p w14:paraId="29F3919F">
            <w:pPr>
              <w:pStyle w:val="10"/>
              <w:spacing w:before="150" w:line="214" w:lineRule="auto"/>
              <w:ind w:left="1948"/>
            </w:pPr>
            <w:r>
              <w:rPr>
                <w:spacing w:val="-12"/>
              </w:rPr>
              <w:t>自动计算</w:t>
            </w:r>
          </w:p>
        </w:tc>
      </w:tr>
      <w:tr w14:paraId="0B112C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740" w:type="dxa"/>
            <w:gridSpan w:val="2"/>
            <w:vAlign w:val="top"/>
          </w:tcPr>
          <w:p w14:paraId="3DF6F167">
            <w:pPr>
              <w:pStyle w:val="10"/>
              <w:spacing w:before="151" w:line="195" w:lineRule="auto"/>
              <w:ind w:left="1687"/>
              <w:rPr>
                <w:rFonts w:ascii="Times New Roman" w:hAnsi="Times New Roman" w:eastAsia="Times New Roman" w:cs="Times New Roman"/>
                <w:sz w:val="11"/>
                <w:szCs w:val="11"/>
              </w:rPr>
            </w:pPr>
            <w:r>
              <w:rPr>
                <w:spacing w:val="6"/>
              </w:rPr>
              <w:t>度电服务费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6"/>
                <w:sz w:val="27"/>
                <w:szCs w:val="27"/>
              </w:rPr>
              <w:t>P</w:t>
            </w:r>
            <w:r>
              <w:rPr>
                <w:rFonts w:ascii="Times New Roman" w:hAnsi="Times New Roman" w:eastAsia="Times New Roman" w:cs="Times New Roman"/>
                <w:spacing w:val="6"/>
                <w:position w:val="-6"/>
                <w:sz w:val="11"/>
                <w:szCs w:val="11"/>
              </w:rPr>
              <w:t>0</w:t>
            </w:r>
          </w:p>
        </w:tc>
        <w:tc>
          <w:tcPr>
            <w:tcW w:w="4688" w:type="dxa"/>
            <w:vAlign w:val="top"/>
          </w:tcPr>
          <w:p w14:paraId="772537A2">
            <w:pPr>
              <w:pStyle w:val="10"/>
              <w:tabs>
                <w:tab w:val="left" w:pos="1076"/>
              </w:tabs>
              <w:spacing w:before="151" w:line="215" w:lineRule="auto"/>
              <w:ind w:firstLine="880" w:firstLineChars="400"/>
            </w:pPr>
            <w:r>
              <w:rPr>
                <w:u w:val="single" w:color="auto"/>
              </w:rPr>
              <w:tab/>
            </w:r>
            <w:r>
              <w:rPr>
                <w:rFonts w:hint="eastAsia"/>
                <w:u w:val="single" w:color="auto"/>
                <w:lang w:val="en-US" w:eastAsia="zh-CN"/>
              </w:rPr>
              <w:t xml:space="preserve">       </w:t>
            </w:r>
            <w:r>
              <w:rPr>
                <w:spacing w:val="-3"/>
                <w:u w:val="none" w:color="auto"/>
              </w:rPr>
              <w:t>（保留小数点后三位</w:t>
            </w:r>
            <w:r>
              <w:rPr>
                <w:spacing w:val="-40"/>
                <w:u w:val="none" w:color="auto"/>
              </w:rPr>
              <w:t>，＞</w:t>
            </w:r>
            <w:r>
              <w:rPr>
                <w:rFonts w:ascii="宋体" w:hAnsi="宋体" w:eastAsia="宋体" w:cs="宋体"/>
                <w:spacing w:val="-3"/>
                <w:u w:val="none" w:color="auto"/>
              </w:rPr>
              <w:t>0</w:t>
            </w:r>
            <w:r>
              <w:rPr>
                <w:spacing w:val="-3"/>
                <w:u w:val="none" w:color="auto"/>
              </w:rPr>
              <w:t>）</w:t>
            </w:r>
          </w:p>
        </w:tc>
      </w:tr>
      <w:tr w14:paraId="44CFA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428" w:type="dxa"/>
            <w:gridSpan w:val="3"/>
            <w:vAlign w:val="top"/>
          </w:tcPr>
          <w:p w14:paraId="3A0E1F1A">
            <w:pPr>
              <w:pStyle w:val="10"/>
              <w:spacing w:before="121" w:line="215" w:lineRule="auto"/>
              <w:ind w:left="3448"/>
            </w:pPr>
            <w:r>
              <w:rPr>
                <w:rFonts w:ascii="宋体" w:hAnsi="宋体" w:eastAsia="宋体" w:cs="宋体"/>
                <w:b/>
                <w:bCs/>
                <w:spacing w:val="-3"/>
              </w:rPr>
              <w:t>4.</w:t>
            </w:r>
            <w:r>
              <w:rPr>
                <w:b/>
                <w:bCs/>
                <w:spacing w:val="-3"/>
              </w:rPr>
              <w:t>价差分享</w:t>
            </w:r>
            <w:r>
              <w:rPr>
                <w:rFonts w:ascii="宋体" w:hAnsi="宋体" w:eastAsia="宋体" w:cs="宋体"/>
                <w:b/>
                <w:bCs/>
                <w:spacing w:val="-3"/>
              </w:rPr>
              <w:t>/</w:t>
            </w:r>
            <w:r>
              <w:rPr>
                <w:b/>
                <w:bCs/>
                <w:spacing w:val="-3"/>
              </w:rPr>
              <w:t>分摊套餐参数</w:t>
            </w:r>
          </w:p>
        </w:tc>
      </w:tr>
      <w:tr w14:paraId="65CF0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740" w:type="dxa"/>
            <w:gridSpan w:val="2"/>
            <w:vAlign w:val="top"/>
          </w:tcPr>
          <w:p w14:paraId="1C25FD76">
            <w:pPr>
              <w:pStyle w:val="10"/>
              <w:spacing w:before="151" w:line="204" w:lineRule="auto"/>
              <w:ind w:left="1598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spacing w:val="1"/>
              </w:rPr>
              <w:t>分成基准价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"/>
                <w:sz w:val="27"/>
                <w:szCs w:val="27"/>
              </w:rPr>
              <w:t>P</w:t>
            </w:r>
            <w:r>
              <w:rPr>
                <w:rFonts w:ascii="宋体" w:hAnsi="宋体" w:eastAsia="宋体" w:cs="宋体"/>
                <w:spacing w:val="1"/>
                <w:position w:val="-6"/>
                <w:sz w:val="11"/>
                <w:szCs w:val="11"/>
              </w:rPr>
              <w:t>基准</w:t>
            </w:r>
          </w:p>
        </w:tc>
        <w:tc>
          <w:tcPr>
            <w:tcW w:w="4688" w:type="dxa"/>
            <w:vAlign w:val="top"/>
          </w:tcPr>
          <w:p w14:paraId="7487D778">
            <w:pPr>
              <w:pStyle w:val="10"/>
              <w:spacing w:before="139" w:line="214" w:lineRule="auto"/>
              <w:ind w:left="1948"/>
            </w:pPr>
            <w:r>
              <w:rPr>
                <w:spacing w:val="-12"/>
              </w:rPr>
              <w:t>自动计算</w:t>
            </w:r>
          </w:p>
        </w:tc>
      </w:tr>
      <w:tr w14:paraId="408CD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4740" w:type="dxa"/>
            <w:gridSpan w:val="2"/>
            <w:vAlign w:val="top"/>
          </w:tcPr>
          <w:p w14:paraId="19DEA8BE">
            <w:pPr>
              <w:pStyle w:val="10"/>
              <w:spacing w:before="102" w:line="201" w:lineRule="auto"/>
              <w:ind w:left="1336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spacing w:val="1"/>
              </w:rPr>
              <w:t>乙方购电成本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"/>
                <w:position w:val="2"/>
                <w:sz w:val="32"/>
                <w:szCs w:val="32"/>
              </w:rPr>
              <w:t>P</w:t>
            </w:r>
            <w:r>
              <w:rPr>
                <w:rFonts w:ascii="宋体" w:hAnsi="宋体" w:eastAsia="宋体" w:cs="宋体"/>
                <w:spacing w:val="1"/>
                <w:position w:val="-3"/>
                <w:sz w:val="13"/>
                <w:szCs w:val="13"/>
              </w:rPr>
              <w:t>购电均价</w:t>
            </w:r>
          </w:p>
        </w:tc>
        <w:tc>
          <w:tcPr>
            <w:tcW w:w="4688" w:type="dxa"/>
            <w:vAlign w:val="top"/>
          </w:tcPr>
          <w:p w14:paraId="60171EE6">
            <w:pPr>
              <w:pStyle w:val="10"/>
              <w:spacing w:before="153" w:line="214" w:lineRule="auto"/>
              <w:ind w:left="1948"/>
            </w:pPr>
            <w:r>
              <w:rPr>
                <w:spacing w:val="-12"/>
              </w:rPr>
              <w:t>自动计算</w:t>
            </w:r>
          </w:p>
        </w:tc>
      </w:tr>
      <w:tr w14:paraId="6DE8E0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4740" w:type="dxa"/>
            <w:gridSpan w:val="2"/>
            <w:vAlign w:val="top"/>
          </w:tcPr>
          <w:p w14:paraId="3C1B9615">
            <w:pPr>
              <w:pStyle w:val="10"/>
              <w:spacing w:before="84" w:line="296" w:lineRule="exact"/>
              <w:ind w:left="1187"/>
              <w:rPr>
                <w:rFonts w:ascii="Times New Roman" w:hAnsi="Times New Roman" w:eastAsia="Times New Roman" w:cs="Times New Roman"/>
              </w:rPr>
            </w:pPr>
            <w:r>
              <w:rPr>
                <w:position w:val="1"/>
              </w:rPr>
              <w:t>归用户分享</w:t>
            </w:r>
            <w:r>
              <w:rPr>
                <w:rFonts w:ascii="宋体" w:hAnsi="宋体" w:eastAsia="宋体" w:cs="宋体"/>
                <w:position w:val="1"/>
              </w:rPr>
              <w:t>/</w:t>
            </w:r>
            <w:r>
              <w:rPr>
                <w:position w:val="1"/>
              </w:rPr>
              <w:t>分摊比例</w:t>
            </w:r>
            <w:r>
              <w:rPr>
                <w:rFonts w:ascii="Times New Roman" w:hAnsi="Times New Roman" w:eastAsia="Times New Roman" w:cs="Times New Roman"/>
                <w:i/>
                <w:iCs/>
                <w:position w:val="1"/>
              </w:rPr>
              <w:t>k</w:t>
            </w:r>
            <w:r>
              <w:rPr>
                <w:rFonts w:ascii="Times New Roman" w:hAnsi="Times New Roman" w:eastAsia="Times New Roman" w:cs="Times New Roman"/>
                <w:position w:val="1"/>
              </w:rPr>
              <w:t>%</w:t>
            </w:r>
          </w:p>
        </w:tc>
        <w:tc>
          <w:tcPr>
            <w:tcW w:w="4688" w:type="dxa"/>
            <w:vAlign w:val="top"/>
          </w:tcPr>
          <w:p w14:paraId="7DFC40BC">
            <w:pPr>
              <w:pStyle w:val="10"/>
              <w:tabs>
                <w:tab w:val="left" w:pos="1295"/>
              </w:tabs>
              <w:spacing w:before="117" w:line="215" w:lineRule="auto"/>
              <w:ind w:firstLine="880" w:firstLineChars="400"/>
              <w:rPr>
                <w:rFonts w:ascii="宋体" w:hAnsi="宋体" w:eastAsia="宋体" w:cs="宋体"/>
              </w:rPr>
            </w:pPr>
            <w:r>
              <w:rPr>
                <w:u w:val="single" w:color="auto"/>
              </w:rPr>
              <w:tab/>
            </w:r>
            <w:r>
              <w:rPr>
                <w:rFonts w:hint="eastAsia"/>
                <w:u w:val="single" w:color="auto"/>
                <w:lang w:val="en-US" w:eastAsia="zh-CN"/>
              </w:rPr>
              <w:t xml:space="preserve">     </w:t>
            </w:r>
            <w:r>
              <w:rPr>
                <w:rFonts w:ascii="宋体" w:hAnsi="宋体" w:eastAsia="宋体" w:cs="宋体"/>
                <w:spacing w:val="-10"/>
                <w:u w:val="single" w:color="auto"/>
              </w:rPr>
              <w:t>%</w:t>
            </w:r>
            <w:r>
              <w:rPr>
                <w:spacing w:val="-10"/>
                <w:u w:val="none" w:color="auto"/>
              </w:rPr>
              <w:t>（保留小数点后一位）</w:t>
            </w:r>
          </w:p>
        </w:tc>
      </w:tr>
      <w:tr w14:paraId="78F27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7" w:hRule="atLeast"/>
        </w:trPr>
        <w:tc>
          <w:tcPr>
            <w:tcW w:w="9428" w:type="dxa"/>
            <w:gridSpan w:val="3"/>
            <w:vAlign w:val="top"/>
          </w:tcPr>
          <w:p w14:paraId="7DB41008">
            <w:pPr>
              <w:pStyle w:val="10"/>
              <w:spacing w:before="136" w:line="217" w:lineRule="auto"/>
              <w:ind w:left="116"/>
            </w:pPr>
            <w:r>
              <w:rPr>
                <w:spacing w:val="-3"/>
              </w:rPr>
              <w:t>说明：</w:t>
            </w:r>
          </w:p>
          <w:p w14:paraId="63046B33">
            <w:pPr>
              <w:pStyle w:val="10"/>
              <w:spacing w:before="140" w:line="214" w:lineRule="auto"/>
              <w:ind w:left="569"/>
            </w:pPr>
            <w:r>
              <w:rPr>
                <w:b/>
                <w:bCs/>
                <w:spacing w:val="-7"/>
              </w:rPr>
              <w:t>1.“</w:t>
            </w:r>
            <w:r>
              <w:rPr>
                <w:spacing w:val="-77"/>
              </w:rPr>
              <w:t xml:space="preserve"> </w:t>
            </w:r>
            <w:r>
              <w:rPr>
                <w:b/>
                <w:bCs/>
                <w:spacing w:val="-7"/>
              </w:rPr>
              <w:t>固定价格”套餐</w:t>
            </w:r>
          </w:p>
          <w:p w14:paraId="4D0A0E54">
            <w:pPr>
              <w:pStyle w:val="10"/>
              <w:spacing w:before="115" w:line="284" w:lineRule="auto"/>
              <w:ind w:left="125" w:right="106" w:firstLine="428"/>
            </w:pPr>
            <w:r>
              <w:rPr>
                <w:spacing w:val="-1"/>
              </w:rPr>
              <w:t>零售用户与售电公司约定的套餐电价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sz w:val="26"/>
                <w:szCs w:val="26"/>
              </w:rPr>
              <w:t>P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3"/>
                <w:sz w:val="26"/>
                <w:szCs w:val="26"/>
              </w:rPr>
              <w:t xml:space="preserve"> </w:t>
            </w:r>
            <w:r>
              <w:rPr>
                <w:spacing w:val="-1"/>
              </w:rPr>
              <w:t>为一口价，不随市场行情浮动。零售用户可根据电力市场运行情况、燃煤发电市场价格走势等相关信息，合理确定签约的套餐电价。</w:t>
            </w:r>
          </w:p>
        </w:tc>
      </w:tr>
    </w:tbl>
    <w:p w14:paraId="4C711608">
      <w:pPr>
        <w:pStyle w:val="2"/>
        <w:spacing w:line="240" w:lineRule="exact"/>
        <w:rPr>
          <w:sz w:val="20"/>
        </w:rPr>
      </w:pPr>
    </w:p>
    <w:p w14:paraId="186A0820">
      <w:pPr>
        <w:spacing w:line="240" w:lineRule="exact"/>
        <w:rPr>
          <w:sz w:val="20"/>
          <w:szCs w:val="20"/>
        </w:rPr>
        <w:sectPr>
          <w:footerReference r:id="rId10" w:type="default"/>
          <w:pgSz w:w="11906" w:h="16839"/>
          <w:pgMar w:top="1251" w:right="1236" w:bottom="1559" w:left="1236" w:header="0" w:footer="1195" w:gutter="0"/>
          <w:pgNumType w:fmt="decimal"/>
          <w:cols w:space="720" w:num="1"/>
        </w:sectPr>
      </w:pPr>
    </w:p>
    <w:tbl>
      <w:tblPr>
        <w:tblStyle w:val="9"/>
        <w:tblW w:w="942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9"/>
        <w:gridCol w:w="7569"/>
      </w:tblGrid>
      <w:tr w14:paraId="4BEC3D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7" w:hRule="atLeast"/>
        </w:trPr>
        <w:tc>
          <w:tcPr>
            <w:tcW w:w="9428" w:type="dxa"/>
            <w:gridSpan w:val="2"/>
            <w:tcBorders>
              <w:bottom w:val="nil"/>
            </w:tcBorders>
            <w:vAlign w:val="top"/>
          </w:tcPr>
          <w:p w14:paraId="1B4C5C60">
            <w:pPr>
              <w:pStyle w:val="10"/>
              <w:spacing w:before="138" w:line="214" w:lineRule="auto"/>
              <w:ind w:left="564"/>
              <w:outlineLvl w:val="0"/>
            </w:pPr>
            <w:r>
              <w:rPr>
                <w:b/>
                <w:bCs/>
                <w:spacing w:val="-3"/>
              </w:rPr>
              <w:t>2.“市场均价+服务费”套餐</w:t>
            </w:r>
          </w:p>
          <w:p w14:paraId="274DD90C">
            <w:pPr>
              <w:pStyle w:val="10"/>
              <w:spacing w:before="141" w:line="336" w:lineRule="auto"/>
              <w:ind w:left="118" w:right="106" w:firstLine="435"/>
              <w:jc w:val="both"/>
            </w:pPr>
            <w:r>
              <w:rPr>
                <w:spacing w:val="-1"/>
              </w:rPr>
              <w:t>零售用户与售电公司在市场均价的基础上，约定售电公司提供电力市场化购售电交易服务的</w:t>
            </w:r>
            <w:r>
              <w:rPr>
                <w:spacing w:val="2"/>
              </w:rPr>
              <w:t>服务费。对“市场均价+服务费”套餐设置封顶价格条</w:t>
            </w:r>
            <w:r>
              <w:rPr>
                <w:spacing w:val="1"/>
              </w:rPr>
              <w:t>款。根据双方是否选择分时段签约，分为</w:t>
            </w:r>
            <w:r>
              <w:rPr>
                <w:spacing w:val="-1"/>
              </w:rPr>
              <w:t>不分时段套餐、分时段套餐。</w:t>
            </w:r>
          </w:p>
          <w:p w14:paraId="00739127">
            <w:pPr>
              <w:pStyle w:val="10"/>
              <w:spacing w:line="214" w:lineRule="auto"/>
              <w:ind w:left="547"/>
            </w:pPr>
            <w:r>
              <w:t>（1）不分时段“市场均价+服务费”套餐</w:t>
            </w:r>
          </w:p>
          <w:p w14:paraId="51351559">
            <w:pPr>
              <w:pStyle w:val="10"/>
              <w:spacing w:before="141" w:line="194" w:lineRule="auto"/>
              <w:ind w:left="554"/>
            </w:pPr>
            <w:r>
              <w:rPr>
                <w:spacing w:val="1"/>
              </w:rPr>
              <w:t>零售用户与售电公司在市场均价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"/>
                <w:sz w:val="27"/>
                <w:szCs w:val="27"/>
              </w:rPr>
              <w:t>P</w:t>
            </w:r>
            <w:r>
              <w:rPr>
                <w:rFonts w:ascii="宋体" w:hAnsi="宋体" w:eastAsia="宋体" w:cs="宋体"/>
                <w:spacing w:val="1"/>
                <w:position w:val="-8"/>
                <w:sz w:val="11"/>
                <w:szCs w:val="11"/>
              </w:rPr>
              <w:t>均价</w:t>
            </w:r>
            <w:r>
              <w:rPr>
                <w:rFonts w:ascii="宋体" w:hAnsi="宋体" w:eastAsia="宋体" w:cs="宋体"/>
                <w:spacing w:val="20"/>
                <w:position w:val="-8"/>
                <w:sz w:val="11"/>
                <w:szCs w:val="11"/>
              </w:rPr>
              <w:t xml:space="preserve"> </w:t>
            </w:r>
            <w:r>
              <w:rPr>
                <w:spacing w:val="1"/>
              </w:rPr>
              <w:t>的基础上，约定</w:t>
            </w:r>
            <w:r>
              <w:t>服务费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position w:val="-5"/>
                <w:sz w:val="12"/>
                <w:szCs w:val="12"/>
              </w:rPr>
              <w:t xml:space="preserve">0  </w:t>
            </w:r>
            <w:r>
              <w:t>。套餐电价</w:t>
            </w:r>
            <w:r>
              <w:rPr>
                <w:rFonts w:ascii="Times New Roman" w:hAnsi="Times New Roman" w:eastAsia="Times New Roman" w:cs="Times New Roman"/>
                <w:i/>
                <w:iCs/>
                <w:sz w:val="27"/>
                <w:szCs w:val="27"/>
              </w:rPr>
              <w:t>P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6"/>
                <w:sz w:val="27"/>
                <w:szCs w:val="27"/>
              </w:rPr>
              <w:t xml:space="preserve"> </w:t>
            </w:r>
            <w:r>
              <w:t>算法如下：</w:t>
            </w:r>
          </w:p>
        </w:tc>
      </w:tr>
      <w:tr w14:paraId="01DFF0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1859" w:type="dxa"/>
            <w:tcBorders>
              <w:top w:val="nil"/>
              <w:bottom w:val="nil"/>
              <w:right w:val="nil"/>
            </w:tcBorders>
            <w:vAlign w:val="top"/>
          </w:tcPr>
          <w:p w14:paraId="6DEAAD25">
            <w:pPr>
              <w:spacing w:before="54" w:line="196" w:lineRule="auto"/>
              <w:jc w:val="right"/>
              <w:rPr>
                <w:rFonts w:ascii="Times New Roman" w:hAnsi="Times New Roman" w:eastAsia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spacing w:val="3"/>
                <w:position w:val="1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7"/>
                <w:position w:val="1"/>
                <w:sz w:val="28"/>
                <w:szCs w:val="28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position w:val="1"/>
                <w:sz w:val="28"/>
                <w:szCs w:val="28"/>
              </w:rPr>
              <w:t>=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"/>
                <w:position w:val="1"/>
                <w:sz w:val="28"/>
                <w:szCs w:val="28"/>
              </w:rPr>
              <w:t>P</w:t>
            </w:r>
            <w:r>
              <w:rPr>
                <w:rFonts w:ascii="宋体" w:hAnsi="宋体" w:eastAsia="宋体" w:cs="宋体"/>
                <w:spacing w:val="3"/>
                <w:position w:val="-5"/>
                <w:sz w:val="12"/>
                <w:szCs w:val="12"/>
              </w:rPr>
              <w:t>均价</w:t>
            </w:r>
            <w:r>
              <w:rPr>
                <w:rFonts w:ascii="Arial" w:hAnsi="Arial" w:eastAsia="Arial" w:cs="Arial"/>
                <w:spacing w:val="3"/>
                <w:position w:val="1"/>
                <w:sz w:val="28"/>
                <w:szCs w:val="28"/>
              </w:rPr>
              <w:t>+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"/>
                <w:position w:val="1"/>
                <w:sz w:val="28"/>
                <w:szCs w:val="28"/>
              </w:rPr>
              <w:t>P</w:t>
            </w:r>
            <w:r>
              <w:rPr>
                <w:rFonts w:ascii="Times New Roman" w:hAnsi="Times New Roman" w:eastAsia="Times New Roman" w:cs="Times New Roman"/>
                <w:spacing w:val="3"/>
                <w:position w:val="-4"/>
                <w:sz w:val="12"/>
                <w:szCs w:val="12"/>
              </w:rPr>
              <w:t>0</w:t>
            </w:r>
          </w:p>
        </w:tc>
        <w:tc>
          <w:tcPr>
            <w:tcW w:w="7569" w:type="dxa"/>
            <w:tcBorders>
              <w:top w:val="nil"/>
              <w:left w:val="nil"/>
              <w:bottom w:val="nil"/>
            </w:tcBorders>
            <w:vAlign w:val="top"/>
          </w:tcPr>
          <w:p w14:paraId="63EACACA">
            <w:pPr>
              <w:pStyle w:val="10"/>
              <w:spacing w:before="61" w:line="214" w:lineRule="auto"/>
              <w:ind w:left="237"/>
            </w:pPr>
            <w:r>
              <w:rPr>
                <w:spacing w:val="-3"/>
              </w:rPr>
              <w:t>其中：</w:t>
            </w:r>
          </w:p>
          <w:p w14:paraId="05337AF5">
            <w:pPr>
              <w:pStyle w:val="10"/>
              <w:spacing w:before="4" w:line="87" w:lineRule="exact"/>
              <w:ind w:left="40"/>
            </w:pPr>
            <w:r>
              <w:rPr>
                <w:position w:val="2"/>
              </w:rPr>
              <w:t>,</w:t>
            </w:r>
          </w:p>
        </w:tc>
      </w:tr>
      <w:tr w14:paraId="0324F9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4" w:hRule="atLeast"/>
        </w:trPr>
        <w:tc>
          <w:tcPr>
            <w:tcW w:w="9428" w:type="dxa"/>
            <w:gridSpan w:val="2"/>
            <w:tcBorders>
              <w:top w:val="nil"/>
            </w:tcBorders>
            <w:vAlign w:val="top"/>
          </w:tcPr>
          <w:p w14:paraId="69EA63E6">
            <w:pPr>
              <w:pStyle w:val="10"/>
              <w:spacing w:before="42" w:line="236" w:lineRule="auto"/>
              <w:ind w:left="148" w:right="112" w:firstLine="436"/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27"/>
                <w:szCs w:val="27"/>
              </w:rPr>
              <w:t>P</w:t>
            </w:r>
            <w:r>
              <w:rPr>
                <w:rFonts w:ascii="宋体" w:hAnsi="宋体" w:eastAsia="宋体" w:cs="宋体"/>
                <w:spacing w:val="-2"/>
                <w:position w:val="-7"/>
                <w:sz w:val="11"/>
                <w:szCs w:val="11"/>
              </w:rPr>
              <w:t xml:space="preserve">均价 </w:t>
            </w:r>
            <w:r>
              <w:rPr>
                <w:spacing w:val="-2"/>
              </w:rPr>
              <w:t>为履约月全体售电公司批发市场电能量结算均价，按</w:t>
            </w:r>
            <w:bookmarkStart w:id="0" w:name="_GoBack"/>
            <w:bookmarkEnd w:id="0"/>
            <w:r>
              <w:rPr>
                <w:spacing w:val="-2"/>
              </w:rPr>
              <w:t>福建省现货交易等相关规定计算；</w:t>
            </w:r>
            <w:r>
              <w:rPr>
                <w:spacing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2"/>
                <w:position w:val="1"/>
                <w:sz w:val="30"/>
                <w:szCs w:val="30"/>
              </w:rPr>
              <w:t>P</w:t>
            </w:r>
            <w:r>
              <w:rPr>
                <w:rFonts w:ascii="Times New Roman" w:hAnsi="Times New Roman" w:eastAsia="Times New Roman" w:cs="Times New Roman"/>
                <w:spacing w:val="-1"/>
                <w:position w:val="-5"/>
                <w:sz w:val="13"/>
                <w:szCs w:val="13"/>
              </w:rPr>
              <w:t>0</w:t>
            </w:r>
            <w:r>
              <w:rPr>
                <w:rFonts w:ascii="Times New Roman" w:hAnsi="Times New Roman" w:eastAsia="Times New Roman" w:cs="Times New Roman"/>
                <w:spacing w:val="31"/>
                <w:w w:val="101"/>
                <w:position w:val="-5"/>
                <w:sz w:val="13"/>
                <w:szCs w:val="13"/>
              </w:rPr>
              <w:t xml:space="preserve"> </w:t>
            </w:r>
            <w:r>
              <w:rPr>
                <w:spacing w:val="-1"/>
              </w:rPr>
              <w:t>为不包括为用户提供设备运维、巡检等非电力</w:t>
            </w:r>
            <w:r>
              <w:rPr>
                <w:spacing w:val="-2"/>
              </w:rPr>
              <w:t>市场化购售电交易服务的费用，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27"/>
                <w:szCs w:val="27"/>
              </w:rPr>
              <w:t>P</w:t>
            </w:r>
            <w:r>
              <w:rPr>
                <w:rFonts w:ascii="Times New Roman" w:hAnsi="Times New Roman" w:eastAsia="Times New Roman" w:cs="Times New Roman"/>
                <w:spacing w:val="-2"/>
                <w:position w:val="-6"/>
                <w:sz w:val="11"/>
                <w:szCs w:val="11"/>
              </w:rPr>
              <w:t xml:space="preserve">0   </w:t>
            </w:r>
            <w:r>
              <w:rPr>
                <w:rFonts w:ascii="Arial" w:hAnsi="Arial" w:eastAsia="Arial" w:cs="Arial"/>
                <w:spacing w:val="-2"/>
                <w:sz w:val="23"/>
                <w:szCs w:val="23"/>
              </w:rPr>
              <w:t>&gt;</w:t>
            </w:r>
            <w:r>
              <w:rPr>
                <w:rFonts w:ascii="Times New Roman" w:hAnsi="Times New Roman" w:eastAsia="Times New Roman" w:cs="Times New Roman"/>
                <w:spacing w:val="-2"/>
                <w:sz w:val="27"/>
                <w:szCs w:val="27"/>
              </w:rPr>
              <w:t>0</w:t>
            </w:r>
            <w:r>
              <w:rPr>
                <w:spacing w:val="-2"/>
              </w:rPr>
              <w:t>。</w:t>
            </w:r>
          </w:p>
          <w:p w14:paraId="11D96D6F">
            <w:pPr>
              <w:pStyle w:val="10"/>
              <w:spacing w:before="84" w:line="214" w:lineRule="auto"/>
              <w:ind w:left="547"/>
            </w:pPr>
            <w:r>
              <w:t>（2）分时段“市场均价+服务费”套餐</w:t>
            </w:r>
          </w:p>
          <w:p w14:paraId="2E94B563">
            <w:pPr>
              <w:pStyle w:val="10"/>
              <w:spacing w:before="120" w:line="250" w:lineRule="auto"/>
              <w:ind w:left="142" w:right="106" w:firstLine="412"/>
            </w:pPr>
            <w:r>
              <w:rPr>
                <w:spacing w:val="-1"/>
              </w:rPr>
              <w:t>零售用户与售电公司在24个时段市场均价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sz w:val="29"/>
                <w:szCs w:val="29"/>
              </w:rPr>
              <w:t>P</w:t>
            </w:r>
            <w:r>
              <w:rPr>
                <w:rFonts w:ascii="宋体" w:hAnsi="宋体" w:eastAsia="宋体" w:cs="宋体"/>
                <w:spacing w:val="-1"/>
                <w:position w:val="-6"/>
                <w:sz w:val="12"/>
                <w:szCs w:val="12"/>
              </w:rPr>
              <w:t>均价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position w:val="-6"/>
                <w:sz w:val="21"/>
                <w:szCs w:val="21"/>
              </w:rPr>
              <w:t xml:space="preserve">t </w:t>
            </w:r>
            <w:r>
              <w:rPr>
                <w:spacing w:val="-1"/>
              </w:rPr>
              <w:t>的基础上，约定</w:t>
            </w:r>
            <w:r>
              <w:rPr>
                <w:spacing w:val="-2"/>
              </w:rPr>
              <w:t>每个时段的服务费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sz w:val="30"/>
                <w:szCs w:val="30"/>
              </w:rPr>
              <w:t>P</w:t>
            </w:r>
            <w:r>
              <w:rPr>
                <w:rFonts w:ascii="Times New Roman" w:hAnsi="Times New Roman" w:eastAsia="Times New Roman" w:cs="Times New Roman"/>
                <w:spacing w:val="-2"/>
                <w:position w:val="-5"/>
                <w:sz w:val="13"/>
                <w:szCs w:val="13"/>
              </w:rPr>
              <w:t>0</w:t>
            </w:r>
            <w:r>
              <w:rPr>
                <w:rFonts w:ascii="Times New Roman" w:hAnsi="Times New Roman" w:eastAsia="Times New Roman" w:cs="Times New Roman"/>
                <w:spacing w:val="17"/>
                <w:position w:val="-5"/>
                <w:sz w:val="13"/>
                <w:szCs w:val="13"/>
              </w:rPr>
              <w:t xml:space="preserve"> </w:t>
            </w:r>
            <w:r>
              <w:rPr>
                <w:spacing w:val="-2"/>
              </w:rPr>
              <w:t>。套餐</w:t>
            </w:r>
            <w:r>
              <w:rPr>
                <w:spacing w:val="-7"/>
              </w:rPr>
              <w:t>电价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7"/>
                <w:sz w:val="29"/>
                <w:szCs w:val="29"/>
              </w:rPr>
              <w:t>P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7"/>
                <w:position w:val="-6"/>
                <w:sz w:val="21"/>
                <w:szCs w:val="21"/>
              </w:rPr>
              <w:t>t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49"/>
                <w:position w:val="-6"/>
                <w:sz w:val="21"/>
                <w:szCs w:val="21"/>
              </w:rPr>
              <w:t xml:space="preserve"> </w:t>
            </w:r>
            <w:r>
              <w:rPr>
                <w:spacing w:val="-7"/>
              </w:rPr>
              <w:t>算法如下：</w:t>
            </w:r>
          </w:p>
          <w:p w14:paraId="4BD05747">
            <w:pPr>
              <w:pStyle w:val="10"/>
              <w:spacing w:before="34" w:line="166" w:lineRule="auto"/>
              <w:ind w:left="693"/>
              <w:rPr>
                <w:spacing w:val="3"/>
                <w:position w:val="3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position w:val="2"/>
                <w:sz w:val="26"/>
                <w:szCs w:val="26"/>
              </w:rPr>
              <w:t>P</w:t>
            </w:r>
            <w:r>
              <w:rPr>
                <w:rFonts w:ascii="Times New Roman" w:hAnsi="Times New Roman" w:eastAsia="Times New Roman" w:cs="Times New Roman"/>
                <w:position w:val="-12"/>
                <w:sz w:val="23"/>
                <w:szCs w:val="23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16"/>
                <w:position w:val="-12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position w:val="2"/>
                <w:sz w:val="26"/>
                <w:szCs w:val="26"/>
              </w:rPr>
              <w:t>=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"/>
                <w:position w:val="2"/>
                <w:sz w:val="26"/>
                <w:szCs w:val="26"/>
              </w:rPr>
              <w:t>P</w:t>
            </w:r>
            <w:r>
              <w:rPr>
                <w:rFonts w:ascii="宋体" w:hAnsi="宋体" w:eastAsia="宋体" w:cs="宋体"/>
                <w:spacing w:val="3"/>
                <w:position w:val="-8"/>
                <w:sz w:val="11"/>
                <w:szCs w:val="11"/>
              </w:rPr>
              <w:t>均价</w:t>
            </w:r>
            <w:r>
              <w:rPr>
                <w:rFonts w:ascii="Times New Roman" w:hAnsi="Times New Roman" w:eastAsia="Times New Roman" w:cs="Times New Roman"/>
                <w:spacing w:val="3"/>
                <w:position w:val="-8"/>
                <w:sz w:val="23"/>
                <w:szCs w:val="23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6"/>
                <w:position w:val="-8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position w:val="2"/>
                <w:sz w:val="26"/>
                <w:szCs w:val="26"/>
              </w:rPr>
              <w:t>+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"/>
                <w:position w:val="2"/>
                <w:sz w:val="26"/>
                <w:szCs w:val="26"/>
              </w:rPr>
              <w:t>P</w:t>
            </w:r>
            <w:r>
              <w:rPr>
                <w:rFonts w:ascii="Times New Roman" w:hAnsi="Times New Roman" w:eastAsia="Times New Roman" w:cs="Times New Roman"/>
                <w:spacing w:val="3"/>
                <w:position w:val="-3"/>
                <w:sz w:val="11"/>
                <w:szCs w:val="11"/>
              </w:rPr>
              <w:t>0</w:t>
            </w:r>
            <w:r>
              <w:rPr>
                <w:rFonts w:ascii="Times New Roman" w:hAnsi="Times New Roman" w:eastAsia="Times New Roman" w:cs="Times New Roman"/>
                <w:spacing w:val="2"/>
                <w:position w:val="-3"/>
                <w:sz w:val="11"/>
                <w:szCs w:val="11"/>
              </w:rPr>
              <w:t xml:space="preserve">         </w:t>
            </w:r>
            <w:r>
              <w:rPr>
                <w:spacing w:val="3"/>
                <w:position w:val="3"/>
              </w:rPr>
              <w:t>其中：</w:t>
            </w:r>
          </w:p>
          <w:p w14:paraId="15811FF6">
            <w:pPr>
              <w:pStyle w:val="10"/>
              <w:spacing w:before="34" w:line="166" w:lineRule="auto"/>
              <w:ind w:left="693"/>
            </w:pPr>
            <w:r>
              <w:rPr>
                <w:rFonts w:ascii="Times New Roman" w:hAnsi="Times New Roman" w:eastAsia="Times New Roman" w:cs="Times New Roman"/>
                <w:i/>
                <w:iCs/>
                <w:spacing w:val="13"/>
                <w:sz w:val="29"/>
                <w:szCs w:val="29"/>
              </w:rPr>
              <w:t>P</w:t>
            </w:r>
            <w:r>
              <w:rPr>
                <w:rFonts w:ascii="宋体" w:hAnsi="宋体" w:eastAsia="宋体" w:cs="宋体"/>
                <w:spacing w:val="-9"/>
                <w:w w:val="90"/>
                <w:position w:val="-7"/>
                <w:sz w:val="12"/>
                <w:szCs w:val="12"/>
              </w:rPr>
              <w:t>均价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4"/>
                <w:position w:val="-7"/>
                <w:sz w:val="21"/>
                <w:szCs w:val="21"/>
              </w:rPr>
              <w:t xml:space="preserve">t </w:t>
            </w:r>
            <w:r>
              <w:rPr>
                <w:spacing w:val="-4"/>
              </w:rPr>
              <w:t>为时段</w:t>
            </w:r>
            <w:r>
              <w:rPr>
                <w:spacing w:val="-27"/>
              </w:rPr>
              <w:t xml:space="preserve"> </w:t>
            </w:r>
            <w:r>
              <w:rPr>
                <w:spacing w:val="-4"/>
              </w:rPr>
              <w:t>t</w:t>
            </w:r>
            <w:r>
              <w:rPr>
                <w:spacing w:val="-50"/>
              </w:rPr>
              <w:t xml:space="preserve"> </w:t>
            </w:r>
            <w:r>
              <w:rPr>
                <w:spacing w:val="-4"/>
              </w:rPr>
              <w:t>履约月全体售电公司批发市场电能量分时段结算均价，按福建省现货交易等相</w:t>
            </w:r>
            <w:r>
              <w:rPr>
                <w:spacing w:val="-1"/>
              </w:rPr>
              <w:t>关规定计算；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position w:val="1"/>
                <w:sz w:val="32"/>
                <w:szCs w:val="32"/>
              </w:rPr>
              <w:t>P</w:t>
            </w:r>
            <w:r>
              <w:rPr>
                <w:rFonts w:ascii="Times New Roman" w:hAnsi="Times New Roman" w:eastAsia="Times New Roman" w:cs="Times New Roman"/>
                <w:spacing w:val="-1"/>
                <w:position w:val="-5"/>
                <w:sz w:val="13"/>
                <w:szCs w:val="13"/>
              </w:rPr>
              <w:t xml:space="preserve">0  </w:t>
            </w:r>
            <w:r>
              <w:rPr>
                <w:spacing w:val="-1"/>
              </w:rPr>
              <w:t>原则同上，且24个时段均相同。</w:t>
            </w:r>
          </w:p>
          <w:p w14:paraId="7B0E18B2">
            <w:pPr>
              <w:pStyle w:val="10"/>
              <w:spacing w:before="107" w:line="214" w:lineRule="auto"/>
              <w:ind w:left="572"/>
              <w:outlineLvl w:val="0"/>
            </w:pPr>
            <w:r>
              <w:rPr>
                <w:b/>
                <w:bCs/>
                <w:spacing w:val="-4"/>
              </w:rPr>
              <w:t>3.“价差分享/分摊”套餐</w:t>
            </w:r>
          </w:p>
          <w:p w14:paraId="1AA9029A">
            <w:pPr>
              <w:pStyle w:val="10"/>
              <w:spacing w:before="141" w:line="290" w:lineRule="auto"/>
              <w:ind w:left="112" w:right="41" w:firstLine="444"/>
              <w:jc w:val="both"/>
            </w:pPr>
            <w:r>
              <w:rPr>
                <w:spacing w:val="-1"/>
              </w:rPr>
              <w:t>售电公司与零售用户约定的套餐电价在基准价的基础上，对本售电公司购电均价低于或</w:t>
            </w:r>
            <w:r>
              <w:rPr>
                <w:spacing w:val="-2"/>
              </w:rPr>
              <w:t>高于基准价的部分，按约定的比例分享或分摊给用户。对“价差分享/分摊”套餐设置封顶价格条款。</w:t>
            </w:r>
            <w:r>
              <w:rPr>
                <w:spacing w:val="3"/>
              </w:rPr>
              <w:t>套餐电价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"/>
                <w:sz w:val="31"/>
                <w:szCs w:val="31"/>
              </w:rPr>
              <w:t>P</w:t>
            </w:r>
            <w:r>
              <w:rPr>
                <w:spacing w:val="3"/>
              </w:rPr>
              <w:t>算法如下：</w:t>
            </w:r>
          </w:p>
          <w:p w14:paraId="7DD61784">
            <w:pPr>
              <w:pStyle w:val="10"/>
              <w:spacing w:line="357" w:lineRule="exact"/>
              <w:ind w:left="583"/>
            </w:pPr>
            <w:r>
              <w:rPr>
                <w:rFonts w:ascii="Times New Roman" w:hAnsi="Times New Roman" w:eastAsia="Times New Roman" w:cs="Times New Roman"/>
                <w:i/>
                <w:iCs/>
                <w:spacing w:val="9"/>
                <w:position w:val="4"/>
                <w:sz w:val="26"/>
                <w:szCs w:val="26"/>
              </w:rPr>
              <w:t>P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4"/>
                <w:sz w:val="26"/>
                <w:szCs w:val="26"/>
              </w:rPr>
              <w:t xml:space="preserve"> </w:t>
            </w:r>
            <w:r>
              <w:rPr>
                <w:rFonts w:ascii="Arial" w:hAnsi="Arial" w:eastAsia="Arial" w:cs="Arial"/>
                <w:spacing w:val="9"/>
                <w:position w:val="4"/>
                <w:sz w:val="26"/>
                <w:szCs w:val="26"/>
              </w:rPr>
              <w:t>=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9"/>
                <w:position w:val="4"/>
                <w:sz w:val="26"/>
                <w:szCs w:val="26"/>
              </w:rPr>
              <w:t>P</w:t>
            </w:r>
            <w:r>
              <w:rPr>
                <w:rFonts w:ascii="宋体" w:hAnsi="宋体" w:eastAsia="宋体" w:cs="宋体"/>
                <w:spacing w:val="9"/>
                <w:position w:val="-1"/>
                <w:sz w:val="11"/>
                <w:szCs w:val="11"/>
              </w:rPr>
              <w:t>基准</w:t>
            </w:r>
            <w:r>
              <w:rPr>
                <w:rFonts w:ascii="Arial" w:hAnsi="Arial" w:eastAsia="Arial" w:cs="Arial"/>
                <w:spacing w:val="-17"/>
                <w:w w:val="66"/>
                <w:position w:val="4"/>
                <w:sz w:val="26"/>
                <w:szCs w:val="26"/>
              </w:rPr>
              <w:t>—</w:t>
            </w:r>
            <w:r>
              <w:rPr>
                <w:rFonts w:ascii="宋体" w:hAnsi="宋体" w:eastAsia="宋体" w:cs="宋体"/>
                <w:spacing w:val="-25"/>
                <w:w w:val="80"/>
                <w:position w:val="4"/>
                <w:sz w:val="26"/>
                <w:szCs w:val="26"/>
              </w:rPr>
              <w:t>（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25"/>
                <w:w w:val="80"/>
                <w:position w:val="4"/>
                <w:sz w:val="26"/>
                <w:szCs w:val="26"/>
              </w:rPr>
              <w:t>P</w:t>
            </w:r>
            <w:r>
              <w:rPr>
                <w:rFonts w:ascii="宋体" w:hAnsi="宋体" w:eastAsia="宋体" w:cs="宋体"/>
                <w:spacing w:val="3"/>
                <w:position w:val="-1"/>
                <w:sz w:val="11"/>
                <w:szCs w:val="11"/>
              </w:rPr>
              <w:t>基准</w:t>
            </w:r>
            <w:r>
              <w:rPr>
                <w:rFonts w:ascii="宋体" w:hAnsi="宋体" w:eastAsia="宋体" w:cs="宋体"/>
                <w:spacing w:val="-30"/>
                <w:position w:val="-1"/>
                <w:sz w:val="11"/>
                <w:szCs w:val="11"/>
              </w:rPr>
              <w:t xml:space="preserve"> </w:t>
            </w:r>
            <w:r>
              <w:rPr>
                <w:rFonts w:ascii="Arial" w:hAnsi="Arial" w:eastAsia="Arial" w:cs="Arial"/>
                <w:spacing w:val="-17"/>
                <w:w w:val="66"/>
                <w:position w:val="4"/>
                <w:sz w:val="26"/>
                <w:szCs w:val="26"/>
              </w:rPr>
              <w:t>—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3"/>
                <w:position w:val="4"/>
                <w:sz w:val="26"/>
                <w:szCs w:val="26"/>
              </w:rPr>
              <w:t>P</w:t>
            </w:r>
            <w:r>
              <w:rPr>
                <w:rFonts w:ascii="宋体" w:hAnsi="宋体" w:eastAsia="宋体" w:cs="宋体"/>
                <w:spacing w:val="3"/>
                <w:position w:val="-1"/>
                <w:sz w:val="11"/>
                <w:szCs w:val="11"/>
              </w:rPr>
              <w:t>购电均价</w:t>
            </w:r>
            <w:r>
              <w:rPr>
                <w:rFonts w:ascii="宋体" w:hAnsi="宋体" w:eastAsia="宋体" w:cs="宋体"/>
                <w:spacing w:val="-18"/>
                <w:position w:val="4"/>
                <w:sz w:val="26"/>
                <w:szCs w:val="26"/>
              </w:rPr>
              <w:t>）</w:t>
            </w:r>
            <w:r>
              <w:rPr>
                <w:rFonts w:ascii="Arial" w:hAnsi="Arial" w:eastAsia="Arial" w:cs="Arial"/>
                <w:spacing w:val="-18"/>
                <w:position w:val="4"/>
                <w:sz w:val="26"/>
                <w:szCs w:val="26"/>
              </w:rPr>
              <w:t>×</w:t>
            </w:r>
            <w:r>
              <w:rPr>
                <w:rFonts w:ascii="Arial" w:hAnsi="Arial" w:eastAsia="Arial" w:cs="Arial"/>
                <w:spacing w:val="-40"/>
                <w:position w:val="4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8"/>
                <w:position w:val="4"/>
                <w:sz w:val="26"/>
                <w:szCs w:val="26"/>
              </w:rPr>
              <w:t>k</w:t>
            </w:r>
            <w:r>
              <w:rPr>
                <w:rFonts w:ascii="Times New Roman" w:hAnsi="Times New Roman" w:eastAsia="Times New Roman" w:cs="Times New Roman"/>
                <w:spacing w:val="-18"/>
                <w:position w:val="4"/>
                <w:sz w:val="26"/>
                <w:szCs w:val="26"/>
              </w:rPr>
              <w:t>%</w:t>
            </w:r>
            <w:r>
              <w:rPr>
                <w:rFonts w:ascii="Times New Roman" w:hAnsi="Times New Roman" w:eastAsia="Times New Roman" w:cs="Times New Roman"/>
                <w:spacing w:val="2"/>
                <w:position w:val="4"/>
                <w:sz w:val="26"/>
                <w:szCs w:val="26"/>
              </w:rPr>
              <w:t xml:space="preserve">  </w:t>
            </w:r>
            <w:r>
              <w:rPr>
                <w:spacing w:val="-40"/>
                <w:position w:val="-9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2"/>
                <w:position w:val="4"/>
                <w:sz w:val="26"/>
                <w:szCs w:val="26"/>
              </w:rPr>
              <w:t xml:space="preserve">  </w:t>
            </w:r>
            <w:r>
              <w:rPr>
                <w:spacing w:val="-18"/>
                <w:position w:val="5"/>
              </w:rPr>
              <w:t>其中：</w:t>
            </w:r>
          </w:p>
          <w:p w14:paraId="225FEB77">
            <w:pPr>
              <w:pStyle w:val="10"/>
              <w:spacing w:before="2" w:line="277" w:lineRule="auto"/>
              <w:ind w:left="116" w:right="106" w:firstLine="471"/>
              <w:jc w:val="both"/>
            </w:pPr>
            <w:r>
              <w:rPr>
                <w:rFonts w:ascii="Times New Roman" w:hAnsi="Times New Roman" w:eastAsia="Times New Roman" w:cs="Times New Roman"/>
                <w:i/>
                <w:iCs/>
                <w:spacing w:val="12"/>
                <w:position w:val="1"/>
                <w:sz w:val="30"/>
                <w:szCs w:val="30"/>
              </w:rPr>
              <w:t>P</w:t>
            </w:r>
            <w:r>
              <w:rPr>
                <w:rFonts w:ascii="宋体" w:hAnsi="宋体" w:eastAsia="宋体" w:cs="宋体"/>
                <w:position w:val="-5"/>
                <w:sz w:val="13"/>
                <w:szCs w:val="13"/>
              </w:rPr>
              <w:t xml:space="preserve">基准 </w:t>
            </w:r>
            <w:r>
              <w:t>为履约月全体售电公司批发市场电能量结算均价</w:t>
            </w:r>
            <w:r>
              <w:rPr>
                <w:rFonts w:ascii="Times New Roman" w:hAnsi="Times New Roman" w:eastAsia="Times New Roman" w:cs="Times New Roman"/>
                <w:i/>
                <w:iCs/>
                <w:sz w:val="27"/>
                <w:szCs w:val="27"/>
              </w:rPr>
              <w:t>P</w:t>
            </w:r>
            <w:r>
              <w:rPr>
                <w:rFonts w:ascii="宋体" w:hAnsi="宋体" w:eastAsia="宋体" w:cs="宋体"/>
                <w:position w:val="-7"/>
                <w:sz w:val="11"/>
                <w:szCs w:val="11"/>
              </w:rPr>
              <w:t>均价</w:t>
            </w:r>
            <w:r>
              <w:rPr>
                <w:rFonts w:ascii="宋体" w:hAnsi="宋体" w:eastAsia="宋体" w:cs="宋体"/>
                <w:spacing w:val="27"/>
                <w:position w:val="-7"/>
                <w:sz w:val="11"/>
                <w:szCs w:val="11"/>
              </w:rPr>
              <w:t xml:space="preserve"> </w:t>
            </w:r>
            <w:r>
              <w:t>；</w:t>
            </w:r>
            <w:r>
              <w:rPr>
                <w:rFonts w:ascii="Times New Roman" w:hAnsi="Times New Roman" w:eastAsia="Times New Roman" w:cs="Times New Roman"/>
                <w:i/>
                <w:iCs/>
                <w:sz w:val="28"/>
                <w:szCs w:val="28"/>
              </w:rPr>
              <w:t>P</w:t>
            </w:r>
            <w:r>
              <w:rPr>
                <w:rFonts w:ascii="宋体" w:hAnsi="宋体" w:eastAsia="宋体" w:cs="宋体"/>
                <w:position w:val="-5"/>
                <w:sz w:val="12"/>
                <w:szCs w:val="12"/>
              </w:rPr>
              <w:t>购电均价</w:t>
            </w:r>
            <w:r>
              <w:rPr>
                <w:rFonts w:ascii="宋体" w:hAnsi="宋体" w:eastAsia="宋体" w:cs="宋体"/>
                <w:spacing w:val="-11"/>
                <w:position w:val="-5"/>
                <w:sz w:val="12"/>
                <w:szCs w:val="12"/>
              </w:rPr>
              <w:t xml:space="preserve"> </w:t>
            </w:r>
            <w:r>
              <w:t>为履约月本售电公司批</w:t>
            </w:r>
            <w:r>
              <w:rPr>
                <w:spacing w:val="-1"/>
              </w:rPr>
              <w:t>发市场电能量结算均价（不含月度追退补电量，下同</w:t>
            </w:r>
            <w:r>
              <w:rPr>
                <w:spacing w:val="-54"/>
              </w:rPr>
              <w:t>），</w:t>
            </w:r>
            <w:r>
              <w:rPr>
                <w:spacing w:val="-1"/>
              </w:rPr>
              <w:t>按福建省现货交易等相关规则计算；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sz w:val="24"/>
                <w:szCs w:val="24"/>
              </w:rPr>
              <w:t>k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%</w:t>
            </w:r>
            <w:r>
              <w:rPr>
                <w:spacing w:val="2"/>
              </w:rPr>
              <w:t>为归用户的分享或分摊比例，取值范围为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0</w:t>
            </w:r>
            <w:r>
              <w:rPr>
                <w:rFonts w:ascii="Arial" w:hAnsi="Arial" w:eastAsia="Arial" w:cs="Arial"/>
                <w:spacing w:val="2"/>
                <w:sz w:val="25"/>
                <w:szCs w:val="25"/>
              </w:rPr>
              <w:t>&lt;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2"/>
                <w:sz w:val="25"/>
                <w:szCs w:val="25"/>
              </w:rPr>
              <w:t>k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%</w:t>
            </w:r>
            <w:r>
              <w:rPr>
                <w:rFonts w:ascii="Arial" w:hAnsi="Arial" w:eastAsia="Arial" w:cs="Arial"/>
                <w:spacing w:val="2"/>
                <w:sz w:val="25"/>
                <w:szCs w:val="25"/>
              </w:rPr>
              <w:t>&lt;</w:t>
            </w:r>
            <w:r>
              <w:rPr>
                <w:rFonts w:ascii="Times New Roman" w:hAnsi="Times New Roman" w:eastAsia="Times New Roman" w:cs="Times New Roman"/>
                <w:spacing w:val="2"/>
                <w:sz w:val="25"/>
                <w:szCs w:val="25"/>
              </w:rPr>
              <w:t>100%</w:t>
            </w:r>
            <w:r>
              <w:rPr>
                <w:spacing w:val="2"/>
              </w:rPr>
              <w:t>。</w:t>
            </w:r>
          </w:p>
          <w:p w14:paraId="0028297E">
            <w:pPr>
              <w:pStyle w:val="10"/>
              <w:spacing w:before="103" w:line="214" w:lineRule="auto"/>
              <w:ind w:left="563"/>
              <w:outlineLvl w:val="0"/>
            </w:pPr>
            <w:r>
              <w:rPr>
                <w:b/>
                <w:bCs/>
                <w:spacing w:val="-3"/>
              </w:rPr>
              <w:t>4.零售套餐封顶价格条款</w:t>
            </w:r>
          </w:p>
          <w:p w14:paraId="75DDFFA5">
            <w:pPr>
              <w:pStyle w:val="10"/>
              <w:spacing w:before="145" w:line="214" w:lineRule="auto"/>
              <w:ind w:left="559"/>
            </w:pPr>
            <w:r>
              <w:rPr>
                <w:spacing w:val="1"/>
              </w:rPr>
              <w:t>对零售套餐设置封顶价格条款，当套餐电价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1"/>
              </w:rPr>
              <w:t>P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21"/>
              </w:rPr>
              <w:t xml:space="preserve"> </w:t>
            </w:r>
            <w:r>
              <w:rPr>
                <w:spacing w:val="1"/>
              </w:rPr>
              <w:t>超过封</w:t>
            </w:r>
            <w:r>
              <w:t>顶价格时，按照封顶价格结算。</w:t>
            </w:r>
          </w:p>
          <w:p w14:paraId="24102AEA">
            <w:pPr>
              <w:pStyle w:val="10"/>
              <w:spacing w:before="145" w:line="220" w:lineRule="auto"/>
              <w:ind w:left="581" w:right="514" w:hanging="34"/>
            </w:pPr>
            <w:r>
              <w:rPr>
                <w:spacing w:val="-3"/>
              </w:rPr>
              <w:t>（1）“固定价格”套餐、不分时段“市场均价+服务费”套餐及“价差分享/分摊”套餐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position w:val="3"/>
                <w:sz w:val="25"/>
                <w:szCs w:val="25"/>
              </w:rPr>
              <w:t>P</w:t>
            </w:r>
            <w:r>
              <w:rPr>
                <w:rFonts w:ascii="宋体" w:hAnsi="宋体" w:eastAsia="宋体" w:cs="宋体"/>
                <w:spacing w:val="-6"/>
                <w:position w:val="-2"/>
                <w:sz w:val="12"/>
                <w:szCs w:val="12"/>
              </w:rPr>
              <w:t>封顶</w:t>
            </w:r>
            <w:r>
              <w:rPr>
                <w:rFonts w:ascii="宋体" w:hAnsi="宋体" w:eastAsia="宋体" w:cs="宋体"/>
                <w:spacing w:val="16"/>
                <w:position w:val="-2"/>
                <w:sz w:val="12"/>
                <w:szCs w:val="12"/>
              </w:rPr>
              <w:t xml:space="preserve"> </w:t>
            </w:r>
            <w:r>
              <w:rPr>
                <w:rFonts w:ascii="Arial" w:hAnsi="Arial" w:eastAsia="Arial" w:cs="Arial"/>
                <w:spacing w:val="-6"/>
                <w:position w:val="3"/>
              </w:rPr>
              <w:t xml:space="preserve">= 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6"/>
                <w:position w:val="3"/>
              </w:rPr>
              <w:t>P</w:t>
            </w:r>
            <w:r>
              <w:rPr>
                <w:rFonts w:ascii="宋体" w:hAnsi="宋体" w:eastAsia="宋体" w:cs="宋体"/>
                <w:spacing w:val="-6"/>
                <w:position w:val="-2"/>
                <w:sz w:val="12"/>
                <w:szCs w:val="12"/>
              </w:rPr>
              <w:t xml:space="preserve">均价 </w:t>
            </w:r>
            <w:r>
              <w:rPr>
                <w:rFonts w:ascii="Arial" w:hAnsi="Arial" w:eastAsia="Arial" w:cs="Arial"/>
                <w:spacing w:val="-6"/>
                <w:position w:val="3"/>
              </w:rPr>
              <w:t>×</w:t>
            </w:r>
            <w:r>
              <w:rPr>
                <w:rFonts w:ascii="宋体" w:hAnsi="宋体" w:eastAsia="宋体" w:cs="宋体"/>
                <w:spacing w:val="-16"/>
                <w:position w:val="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6"/>
                <w:position w:val="3"/>
              </w:rPr>
              <w:t>1</w:t>
            </w:r>
            <w:r>
              <w:rPr>
                <w:rFonts w:ascii="Arial" w:hAnsi="Arial" w:eastAsia="Arial" w:cs="Arial"/>
                <w:spacing w:val="-16"/>
                <w:position w:val="3"/>
              </w:rPr>
              <w:t>+</w:t>
            </w:r>
            <w:r>
              <w:rPr>
                <w:rFonts w:ascii="Arial" w:hAnsi="Arial" w:eastAsia="Arial" w:cs="Arial"/>
                <w:spacing w:val="-18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  <w:position w:val="3"/>
              </w:rPr>
              <w:t>n%</w:t>
            </w:r>
            <w:r>
              <w:rPr>
                <w:rFonts w:ascii="宋体" w:hAnsi="宋体" w:eastAsia="宋体" w:cs="宋体"/>
                <w:spacing w:val="-40"/>
                <w:position w:val="3"/>
              </w:rPr>
              <w:t>）</w:t>
            </w:r>
            <w:r>
              <w:rPr>
                <w:spacing w:val="-40"/>
                <w:position w:val="-9"/>
              </w:rPr>
              <w:t>，</w:t>
            </w:r>
            <w:r>
              <w:rPr>
                <w:spacing w:val="-16"/>
                <w:position w:val="-9"/>
              </w:rPr>
              <w:t>其中：</w:t>
            </w:r>
          </w:p>
          <w:p w14:paraId="678CD5ED">
            <w:pPr>
              <w:pStyle w:val="10"/>
              <w:spacing w:before="116" w:line="294" w:lineRule="auto"/>
              <w:ind w:left="114" w:right="106" w:firstLine="473"/>
              <w:jc w:val="both"/>
            </w:pPr>
            <w:r>
              <w:rPr>
                <w:rFonts w:ascii="Times New Roman" w:hAnsi="Times New Roman" w:eastAsia="Times New Roman" w:cs="Times New Roman"/>
                <w:i/>
                <w:iCs/>
                <w:spacing w:val="12"/>
                <w:position w:val="1"/>
                <w:sz w:val="30"/>
                <w:szCs w:val="30"/>
              </w:rPr>
              <w:t>P</w:t>
            </w:r>
            <w:r>
              <w:rPr>
                <w:rFonts w:ascii="宋体" w:hAnsi="宋体" w:eastAsia="宋体" w:cs="宋体"/>
                <w:spacing w:val="-1"/>
                <w:position w:val="-6"/>
                <w:sz w:val="13"/>
                <w:szCs w:val="13"/>
              </w:rPr>
              <w:t xml:space="preserve">均价 </w:t>
            </w:r>
            <w:r>
              <w:rPr>
                <w:spacing w:val="-1"/>
              </w:rPr>
              <w:t>为履约月全体售电公司批发市场电能量结算均价（不</w:t>
            </w:r>
            <w:r>
              <w:rPr>
                <w:spacing w:val="-2"/>
              </w:rPr>
              <w:t>含月度追退补电量，下同</w:t>
            </w:r>
            <w:r>
              <w:rPr>
                <w:spacing w:val="-51"/>
              </w:rPr>
              <w:t>），</w:t>
            </w:r>
            <w:r>
              <w:rPr>
                <w:spacing w:val="-2"/>
              </w:rPr>
              <w:t>按福</w:t>
            </w:r>
            <w:r>
              <w:t>建省现货交易等相关规定计算；</w:t>
            </w:r>
            <w:r>
              <w:rPr>
                <w:rFonts w:ascii="Times New Roman" w:hAnsi="Times New Roman" w:eastAsia="Times New Roman" w:cs="Times New Roman"/>
                <w:sz w:val="27"/>
                <w:szCs w:val="27"/>
              </w:rPr>
              <w:t>n%</w:t>
            </w:r>
            <w:r>
              <w:rPr>
                <w:rFonts w:ascii="Times New Roman" w:hAnsi="Times New Roman" w:eastAsia="Times New Roman" w:cs="Times New Roman"/>
                <w:spacing w:val="-14"/>
                <w:sz w:val="27"/>
                <w:szCs w:val="27"/>
              </w:rPr>
              <w:t xml:space="preserve"> </w:t>
            </w:r>
            <w:r>
              <w:t>为封顶系数，由福建省发改委</w:t>
            </w:r>
            <w:r>
              <w:rPr>
                <w:spacing w:val="-1"/>
              </w:rPr>
              <w:t>会同福建能源监管办组织电力交易机构提出，经市场管理委员会审议后明确。</w:t>
            </w:r>
          </w:p>
          <w:p w14:paraId="117CBF2D">
            <w:pPr>
              <w:pStyle w:val="10"/>
              <w:spacing w:before="28" w:line="214" w:lineRule="auto"/>
              <w:ind w:left="547"/>
            </w:pPr>
            <w:r>
              <w:t>（2）分时段“市场均价+服务费”套餐</w:t>
            </w:r>
          </w:p>
          <w:p w14:paraId="1E97DF82">
            <w:pPr>
              <w:pStyle w:val="10"/>
              <w:spacing w:before="48" w:line="296" w:lineRule="exact"/>
              <w:ind w:left="562"/>
            </w:pPr>
            <w:r>
              <w:rPr>
                <w:spacing w:val="-1"/>
                <w:position w:val="-3"/>
              </w:rPr>
              <w:t>封顶价格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1"/>
                <w:position w:val="8"/>
                <w:sz w:val="24"/>
                <w:szCs w:val="24"/>
              </w:rPr>
              <w:t>P</w:t>
            </w:r>
            <w:r>
              <w:rPr>
                <w:rFonts w:ascii="宋体" w:hAnsi="宋体" w:eastAsia="宋体" w:cs="宋体"/>
                <w:spacing w:val="-1"/>
                <w:sz w:val="10"/>
                <w:szCs w:val="10"/>
              </w:rPr>
              <w:t>封顶价格</w:t>
            </w:r>
            <w:r>
              <w:rPr>
                <w:rFonts w:ascii="Times New Roman" w:hAnsi="Times New Roman" w:eastAsia="Times New Roman" w:cs="Times New Roman"/>
                <w:spacing w:val="-1"/>
                <w:sz w:val="17"/>
                <w:szCs w:val="17"/>
              </w:rPr>
              <w:t xml:space="preserve">t </w:t>
            </w:r>
            <w:r>
              <w:rPr>
                <w:spacing w:val="-1"/>
                <w:position w:val="-3"/>
              </w:rPr>
              <w:t>按</w:t>
            </w:r>
            <w:r>
              <w:rPr>
                <w:spacing w:val="-34"/>
                <w:position w:val="-3"/>
              </w:rPr>
              <w:t xml:space="preserve"> </w:t>
            </w:r>
            <w:r>
              <w:rPr>
                <w:spacing w:val="-1"/>
                <w:position w:val="-3"/>
              </w:rPr>
              <w:t>24</w:t>
            </w:r>
            <w:r>
              <w:rPr>
                <w:spacing w:val="-45"/>
                <w:position w:val="-3"/>
              </w:rPr>
              <w:t xml:space="preserve"> </w:t>
            </w:r>
            <w:r>
              <w:rPr>
                <w:spacing w:val="-1"/>
                <w:position w:val="-3"/>
              </w:rPr>
              <w:t>个时段设置：</w:t>
            </w:r>
          </w:p>
          <w:p w14:paraId="33A7067B">
            <w:pPr>
              <w:pStyle w:val="10"/>
              <w:spacing w:before="2" w:line="230" w:lineRule="auto"/>
              <w:ind w:left="583"/>
            </w:pPr>
            <w:r>
              <w:rPr>
                <w:rFonts w:ascii="Times New Roman" w:hAnsi="Times New Roman" w:eastAsia="Times New Roman" w:cs="Times New Roman"/>
                <w:i/>
                <w:iCs/>
                <w:spacing w:val="-4"/>
                <w:position w:val="6"/>
                <w:sz w:val="23"/>
                <w:szCs w:val="23"/>
              </w:rPr>
              <w:t>P</w:t>
            </w:r>
            <w:r>
              <w:rPr>
                <w:rFonts w:ascii="宋体" w:hAnsi="宋体" w:eastAsia="宋体" w:cs="宋体"/>
                <w:spacing w:val="-4"/>
                <w:position w:val="-5"/>
                <w:sz w:val="11"/>
                <w:szCs w:val="11"/>
              </w:rPr>
              <w:t>封顶价格</w:t>
            </w:r>
            <w:r>
              <w:rPr>
                <w:rFonts w:ascii="Times New Roman" w:hAnsi="Times New Roman" w:eastAsia="Times New Roman" w:cs="Times New Roman"/>
                <w:spacing w:val="-4"/>
                <w:position w:val="-5"/>
                <w:sz w:val="23"/>
                <w:szCs w:val="23"/>
              </w:rPr>
              <w:t>t</w:t>
            </w:r>
            <w:r>
              <w:rPr>
                <w:rFonts w:ascii="Times New Roman" w:hAnsi="Times New Roman" w:eastAsia="Times New Roman" w:cs="Times New Roman"/>
                <w:spacing w:val="32"/>
                <w:position w:val="-5"/>
                <w:sz w:val="23"/>
                <w:szCs w:val="23"/>
              </w:rPr>
              <w:t xml:space="preserve"> </w:t>
            </w:r>
            <w:r>
              <w:rPr>
                <w:rFonts w:ascii="Arial" w:hAnsi="Arial" w:eastAsia="Arial" w:cs="Arial"/>
                <w:spacing w:val="-4"/>
                <w:position w:val="6"/>
                <w:sz w:val="23"/>
                <w:szCs w:val="23"/>
              </w:rPr>
              <w:t>=</w:t>
            </w:r>
            <w:r>
              <w:rPr>
                <w:rFonts w:ascii="Times New Roman" w:hAnsi="Times New Roman" w:eastAsia="Times New Roman" w:cs="Times New Roman"/>
                <w:i/>
                <w:iCs/>
                <w:spacing w:val="-4"/>
                <w:position w:val="6"/>
                <w:sz w:val="23"/>
                <w:szCs w:val="23"/>
              </w:rPr>
              <w:t>P</w:t>
            </w:r>
            <w:r>
              <w:rPr>
                <w:rFonts w:ascii="宋体" w:hAnsi="宋体" w:eastAsia="宋体" w:cs="宋体"/>
                <w:spacing w:val="-4"/>
                <w:position w:val="-5"/>
                <w:sz w:val="11"/>
                <w:szCs w:val="11"/>
              </w:rPr>
              <w:t>均价</w:t>
            </w:r>
            <w:r>
              <w:rPr>
                <w:rFonts w:ascii="Times New Roman" w:hAnsi="Times New Roman" w:eastAsia="Times New Roman" w:cs="Times New Roman"/>
                <w:spacing w:val="-4"/>
                <w:position w:val="-5"/>
                <w:sz w:val="23"/>
                <w:szCs w:val="23"/>
              </w:rPr>
              <w:t xml:space="preserve">t </w:t>
            </w:r>
            <w:r>
              <w:rPr>
                <w:rFonts w:ascii="Arial" w:hAnsi="Arial" w:eastAsia="Arial" w:cs="Arial"/>
                <w:spacing w:val="-4"/>
                <w:position w:val="6"/>
                <w:sz w:val="23"/>
                <w:szCs w:val="23"/>
              </w:rPr>
              <w:t>×</w:t>
            </w:r>
            <w:r>
              <w:rPr>
                <w:rFonts w:ascii="宋体" w:hAnsi="宋体" w:eastAsia="宋体" w:cs="宋体"/>
                <w:spacing w:val="-17"/>
                <w:position w:val="6"/>
                <w:sz w:val="23"/>
                <w:szCs w:val="2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7"/>
                <w:position w:val="6"/>
                <w:sz w:val="23"/>
                <w:szCs w:val="23"/>
              </w:rPr>
              <w:t>1</w:t>
            </w:r>
            <w:r>
              <w:rPr>
                <w:rFonts w:ascii="Arial" w:hAnsi="Arial" w:eastAsia="Arial" w:cs="Arial"/>
                <w:spacing w:val="-17"/>
                <w:position w:val="6"/>
                <w:sz w:val="23"/>
                <w:szCs w:val="23"/>
              </w:rPr>
              <w:t>+</w:t>
            </w:r>
            <w:r>
              <w:rPr>
                <w:rFonts w:ascii="Arial" w:hAnsi="Arial" w:eastAsia="Arial" w:cs="Arial"/>
                <w:spacing w:val="-18"/>
                <w:position w:val="6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7"/>
                <w:position w:val="6"/>
                <w:sz w:val="23"/>
                <w:szCs w:val="23"/>
              </w:rPr>
              <w:t>n%</w:t>
            </w:r>
            <w:r>
              <w:rPr>
                <w:rFonts w:ascii="宋体" w:hAnsi="宋体" w:eastAsia="宋体" w:cs="宋体"/>
                <w:spacing w:val="-46"/>
                <w:position w:val="6"/>
                <w:sz w:val="23"/>
                <w:szCs w:val="23"/>
              </w:rPr>
              <w:t>）</w:t>
            </w:r>
            <w:r>
              <w:rPr>
                <w:spacing w:val="-46"/>
                <w:position w:val="-11"/>
              </w:rPr>
              <w:t>，</w:t>
            </w:r>
            <w:r>
              <w:rPr>
                <w:spacing w:val="-17"/>
                <w:position w:val="-11"/>
              </w:rPr>
              <w:t>其中：</w:t>
            </w:r>
          </w:p>
          <w:p w14:paraId="6A9BA0EA">
            <w:pPr>
              <w:pStyle w:val="10"/>
              <w:spacing w:before="60" w:line="270" w:lineRule="auto"/>
              <w:ind w:left="121" w:right="106" w:firstLine="456"/>
            </w:pPr>
            <w:r>
              <w:rPr>
                <w:rFonts w:ascii="Times New Roman" w:hAnsi="Times New Roman" w:eastAsia="Times New Roman" w:cs="Times New Roman"/>
                <w:i/>
                <w:iCs/>
                <w:spacing w:val="-2"/>
                <w:position w:val="11"/>
                <w:sz w:val="23"/>
                <w:szCs w:val="23"/>
              </w:rPr>
              <w:t>P</w:t>
            </w:r>
            <w:r>
              <w:rPr>
                <w:rFonts w:ascii="宋体" w:hAnsi="宋体" w:eastAsia="宋体" w:cs="宋体"/>
                <w:spacing w:val="-2"/>
                <w:position w:val="4"/>
                <w:sz w:val="9"/>
                <w:szCs w:val="9"/>
              </w:rPr>
              <w:t>均价</w:t>
            </w:r>
            <w:r>
              <w:rPr>
                <w:rFonts w:ascii="Times New Roman" w:hAnsi="Times New Roman" w:eastAsia="Times New Roman" w:cs="Times New Roman"/>
                <w:spacing w:val="-2"/>
                <w:position w:val="4"/>
                <w:sz w:val="16"/>
                <w:szCs w:val="16"/>
              </w:rPr>
              <w:t>t</w:t>
            </w:r>
            <w:r>
              <w:rPr>
                <w:rFonts w:ascii="Times New Roman" w:hAnsi="Times New Roman" w:eastAsia="Times New Roman" w:cs="Times New Roman"/>
                <w:spacing w:val="22"/>
                <w:w w:val="102"/>
                <w:position w:val="4"/>
                <w:sz w:val="16"/>
                <w:szCs w:val="16"/>
              </w:rPr>
              <w:t xml:space="preserve"> </w:t>
            </w:r>
            <w:r>
              <w:rPr>
                <w:spacing w:val="-2"/>
              </w:rPr>
              <w:t>为时段</w:t>
            </w:r>
            <w:r>
              <w:rPr>
                <w:spacing w:val="-29"/>
              </w:rPr>
              <w:t xml:space="preserve"> </w:t>
            </w:r>
            <w:r>
              <w:rPr>
                <w:spacing w:val="-2"/>
              </w:rPr>
              <w:t>t</w:t>
            </w:r>
            <w:r>
              <w:rPr>
                <w:spacing w:val="-48"/>
              </w:rPr>
              <w:t xml:space="preserve"> </w:t>
            </w:r>
            <w:r>
              <w:rPr>
                <w:spacing w:val="-2"/>
              </w:rPr>
              <w:t>履约月全体售电公司批发市场电能量结算均价，按福建省现货交易等相关规定</w:t>
            </w:r>
            <w:r>
              <w:t>计算；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n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%</w:t>
            </w: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t>取值原则同上。</w:t>
            </w:r>
          </w:p>
        </w:tc>
      </w:tr>
    </w:tbl>
    <w:p w14:paraId="040779EA">
      <w:pPr>
        <w:pStyle w:val="2"/>
        <w:spacing w:line="57" w:lineRule="exact"/>
        <w:rPr>
          <w:sz w:val="4"/>
        </w:rPr>
      </w:pPr>
    </w:p>
    <w:p w14:paraId="4815DC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0D5C22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46F8B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D46F8B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1A55EE">
    <w:pPr>
      <w:spacing w:line="233" w:lineRule="auto"/>
      <w:ind w:left="8105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191A7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1191A7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010D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F531F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0F531F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6B909A">
    <w:pPr>
      <w:spacing w:line="233" w:lineRule="auto"/>
      <w:jc w:val="right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98BC3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98BC3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674EB6">
    <w:pPr>
      <w:spacing w:line="233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D3B3E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D3B3E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ABBA62">
    <w:pPr>
      <w:spacing w:line="233" w:lineRule="auto"/>
      <w:ind w:left="8080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59B4A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59B4A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2C7AD">
    <w:pPr>
      <w:spacing w:line="240" w:lineRule="auto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D8B8F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AD8B8F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B5134">
    <w:pPr>
      <w:spacing w:line="233" w:lineRule="auto"/>
      <w:ind w:left="8209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974C3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974C3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92086B"/>
    <w:rsid w:val="00901270"/>
    <w:rsid w:val="01657D92"/>
    <w:rsid w:val="021319CB"/>
    <w:rsid w:val="02C92DF3"/>
    <w:rsid w:val="030C3FAE"/>
    <w:rsid w:val="042E0522"/>
    <w:rsid w:val="04467CA1"/>
    <w:rsid w:val="070F609A"/>
    <w:rsid w:val="0792208A"/>
    <w:rsid w:val="087E58A3"/>
    <w:rsid w:val="099251AC"/>
    <w:rsid w:val="0AD614DD"/>
    <w:rsid w:val="0B024BA5"/>
    <w:rsid w:val="0B3A12A5"/>
    <w:rsid w:val="0C194C61"/>
    <w:rsid w:val="0EA47FDE"/>
    <w:rsid w:val="0FD9608E"/>
    <w:rsid w:val="0FF41A05"/>
    <w:rsid w:val="10284F96"/>
    <w:rsid w:val="104E2D7C"/>
    <w:rsid w:val="10DA2AA4"/>
    <w:rsid w:val="134C0918"/>
    <w:rsid w:val="146C396C"/>
    <w:rsid w:val="14E54B19"/>
    <w:rsid w:val="1C2A5AB9"/>
    <w:rsid w:val="1D88683E"/>
    <w:rsid w:val="1DC43A9D"/>
    <w:rsid w:val="1E3B5B06"/>
    <w:rsid w:val="1ECA377A"/>
    <w:rsid w:val="1F32310E"/>
    <w:rsid w:val="205E5562"/>
    <w:rsid w:val="20867782"/>
    <w:rsid w:val="20DB54FF"/>
    <w:rsid w:val="23236317"/>
    <w:rsid w:val="23C4072C"/>
    <w:rsid w:val="243839C9"/>
    <w:rsid w:val="247938B4"/>
    <w:rsid w:val="250A63E7"/>
    <w:rsid w:val="2522751B"/>
    <w:rsid w:val="26692886"/>
    <w:rsid w:val="2AD866EA"/>
    <w:rsid w:val="2BAF576B"/>
    <w:rsid w:val="2C3915C8"/>
    <w:rsid w:val="2F766306"/>
    <w:rsid w:val="30AC51B1"/>
    <w:rsid w:val="31295702"/>
    <w:rsid w:val="32065E14"/>
    <w:rsid w:val="34CE3B4E"/>
    <w:rsid w:val="36C35D76"/>
    <w:rsid w:val="391A4420"/>
    <w:rsid w:val="39581D89"/>
    <w:rsid w:val="3BC51865"/>
    <w:rsid w:val="3D4E62B9"/>
    <w:rsid w:val="3E9E6790"/>
    <w:rsid w:val="41AA3E72"/>
    <w:rsid w:val="41C316BD"/>
    <w:rsid w:val="41E802EE"/>
    <w:rsid w:val="41F374D5"/>
    <w:rsid w:val="434E2227"/>
    <w:rsid w:val="45667ACE"/>
    <w:rsid w:val="45CA43BF"/>
    <w:rsid w:val="4B0608CA"/>
    <w:rsid w:val="4B31692A"/>
    <w:rsid w:val="4DF51AE5"/>
    <w:rsid w:val="4E50551D"/>
    <w:rsid w:val="4EF546A4"/>
    <w:rsid w:val="4F7F0CF1"/>
    <w:rsid w:val="4FB41966"/>
    <w:rsid w:val="4FB774BE"/>
    <w:rsid w:val="556A09AA"/>
    <w:rsid w:val="55E276ED"/>
    <w:rsid w:val="55F63048"/>
    <w:rsid w:val="5B220441"/>
    <w:rsid w:val="5DBB56E4"/>
    <w:rsid w:val="5DFD1660"/>
    <w:rsid w:val="60E00D54"/>
    <w:rsid w:val="6131668C"/>
    <w:rsid w:val="65D8430F"/>
    <w:rsid w:val="665A655C"/>
    <w:rsid w:val="66FD1702"/>
    <w:rsid w:val="67E63AE8"/>
    <w:rsid w:val="68FB5372"/>
    <w:rsid w:val="6922116C"/>
    <w:rsid w:val="6BFD0157"/>
    <w:rsid w:val="6C1E51F3"/>
    <w:rsid w:val="6CBA5BB3"/>
    <w:rsid w:val="6D296B29"/>
    <w:rsid w:val="6D684BCB"/>
    <w:rsid w:val="6E681F0B"/>
    <w:rsid w:val="71CD4A80"/>
    <w:rsid w:val="7592086B"/>
    <w:rsid w:val="761D0A45"/>
    <w:rsid w:val="76616E1B"/>
    <w:rsid w:val="76771D8E"/>
    <w:rsid w:val="77A809CA"/>
    <w:rsid w:val="79FD6734"/>
    <w:rsid w:val="7A400409"/>
    <w:rsid w:val="7C84791E"/>
    <w:rsid w:val="7DA10CA4"/>
    <w:rsid w:val="7E1521D2"/>
    <w:rsid w:val="7E48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0"/>
    <w:pPr>
      <w:keepNext w:val="0"/>
      <w:keepLines w:val="0"/>
      <w:widowControl w:val="0"/>
      <w:suppressLineNumbers w:val="0"/>
      <w:autoSpaceDE w:val="0"/>
      <w:autoSpaceDN w:val="0"/>
      <w:spacing w:before="0" w:beforeAutospacing="0" w:after="0" w:afterAutospacing="0"/>
      <w:ind w:left="0" w:right="0"/>
      <w:jc w:val="left"/>
    </w:pPr>
    <w:rPr>
      <w:rFonts w:hint="eastAsia" w:ascii="仿宋" w:hAnsi="仿宋" w:eastAsia="仿宋" w:cs="仿宋"/>
      <w:kern w:val="0"/>
      <w:sz w:val="22"/>
      <w:szCs w:val="22"/>
      <w:lang w:val="en-US" w:eastAsia="zh-CN" w:bidi="ar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2025-11-13T02:45:00Z</dcterms:created>
  <dc:creator>林新尧</dc:creator>
  <cp:lastModifiedBy>林新尧</cp:lastModifiedBy>
  <dcterms:modified xsi:type="dcterms:W3CDTF">2025-11-13T02:51:49Z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A4187C97D06D4FF5A54F3914BFBA2607_11</vt:lpwstr>
  </property>
  <property fmtid="{D5CDD505-2E9C-101B-9397-08002B2CF9AE}" pid="4" name="KSOTemplateDocerSaveRecord">
    <vt:lpwstr>eyJoZGlkIjoiODYyZGQxNTM1MjIwNjhjYzFiM2QyMDVjYjBmNmM2NzUiLCJ1c2VySWQiOiIyMTMyMjgyNiJ9</vt:lpwstr>
  </property>
</Properties>
</file>