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20E3F">
      <w:pPr>
        <w:pStyle w:val="11"/>
        <w:rPr>
          <w:rFonts w:hint="eastAsia"/>
          <w:highlight w:val="none"/>
          <w:lang w:val="en-US" w:eastAsia="zh-Hans"/>
        </w:rPr>
      </w:pPr>
      <w:r>
        <w:rPr>
          <w:highlight w:val="none"/>
        </w:rPr>
        <w:br w:type="textWrapping"/>
      </w:r>
    </w:p>
    <w:p w14:paraId="23620F4C">
      <w:pPr>
        <w:pStyle w:val="11"/>
        <w:rPr>
          <w:highlight w:val="none"/>
        </w:rPr>
      </w:pPr>
      <w:r>
        <w:rPr>
          <w:rFonts w:ascii="仿宋_GB2312" w:hAnsi="仿宋_GB2312" w:eastAsia="仿宋_GB2312" w:cs="仿宋_GB2312"/>
          <w:highlight w:val="none"/>
        </w:rPr>
        <w:t>　</w:t>
      </w:r>
    </w:p>
    <w:p w14:paraId="28BA9C0A">
      <w:pPr>
        <w:pStyle w:val="11"/>
        <w:jc w:val="center"/>
        <w:outlineLvl w:val="0"/>
        <w:rPr>
          <w:rFonts w:hint="eastAsia" w:eastAsia="仿宋_GB2312"/>
          <w:highlight w:val="none"/>
          <w:lang w:eastAsia="zh-CN"/>
        </w:rPr>
      </w:pPr>
      <w:r>
        <w:rPr>
          <w:rFonts w:hint="eastAsia" w:ascii="仿宋_GB2312" w:hAnsi="仿宋_GB2312" w:eastAsia="仿宋_GB2312" w:cs="仿宋_GB2312"/>
          <w:b/>
          <w:sz w:val="48"/>
          <w:highlight w:val="none"/>
          <w:lang w:eastAsia="zh-CN"/>
        </w:rPr>
        <w:t>国有企业</w:t>
      </w:r>
      <w:r>
        <w:rPr>
          <w:rFonts w:ascii="仿宋_GB2312" w:hAnsi="仿宋_GB2312" w:eastAsia="仿宋_GB2312" w:cs="仿宋_GB2312"/>
          <w:b/>
          <w:sz w:val="48"/>
          <w:highlight w:val="none"/>
        </w:rPr>
        <w:t>采购</w:t>
      </w:r>
      <w:r>
        <w:rPr>
          <w:rFonts w:hint="eastAsia" w:ascii="仿宋_GB2312" w:hAnsi="仿宋_GB2312" w:eastAsia="仿宋_GB2312" w:cs="仿宋_GB2312"/>
          <w:b/>
          <w:sz w:val="48"/>
          <w:highlight w:val="none"/>
          <w:lang w:eastAsia="zh-CN"/>
        </w:rPr>
        <w:t>项目</w:t>
      </w:r>
    </w:p>
    <w:p w14:paraId="7FA6B196">
      <w:pPr>
        <w:pStyle w:val="11"/>
        <w:jc w:val="center"/>
        <w:outlineLvl w:val="0"/>
        <w:rPr>
          <w:rFonts w:hint="eastAsia" w:eastAsia="仿宋_GB2312"/>
          <w:highlight w:val="none"/>
          <w:lang w:eastAsia="zh-CN"/>
        </w:rPr>
      </w:pPr>
      <w:r>
        <w:rPr>
          <w:rFonts w:ascii="仿宋_GB2312" w:hAnsi="仿宋_GB2312" w:eastAsia="仿宋_GB2312" w:cs="仿宋_GB2312"/>
          <w:b/>
          <w:sz w:val="48"/>
          <w:highlight w:val="none"/>
        </w:rPr>
        <w:t>询</w:t>
      </w:r>
      <w:r>
        <w:rPr>
          <w:rFonts w:hint="eastAsia" w:ascii="仿宋_GB2312" w:hAnsi="仿宋_GB2312" w:eastAsia="仿宋_GB2312" w:cs="仿宋_GB2312"/>
          <w:b/>
          <w:sz w:val="48"/>
          <w:highlight w:val="none"/>
          <w:lang w:eastAsia="zh-CN"/>
        </w:rPr>
        <w:t>比文件</w:t>
      </w:r>
    </w:p>
    <w:p w14:paraId="0325DD59">
      <w:pPr>
        <w:pStyle w:val="11"/>
        <w:jc w:val="center"/>
        <w:outlineLvl w:val="0"/>
        <w:rPr>
          <w:highlight w:val="none"/>
        </w:rPr>
      </w:pPr>
      <w:r>
        <w:rPr>
          <w:rFonts w:ascii="仿宋_GB2312" w:hAnsi="仿宋_GB2312" w:eastAsia="仿宋_GB2312" w:cs="仿宋_GB2312"/>
          <w:b/>
          <w:sz w:val="48"/>
          <w:highlight w:val="none"/>
        </w:rPr>
        <w:t>（服务类）</w:t>
      </w:r>
    </w:p>
    <w:p w14:paraId="5474C210">
      <w:pPr>
        <w:pStyle w:val="11"/>
        <w:jc w:val="center"/>
        <w:outlineLvl w:val="9"/>
        <w:rPr>
          <w:rFonts w:ascii="仿宋_GB2312" w:hAnsi="仿宋_GB2312" w:eastAsia="仿宋_GB2312" w:cs="仿宋_GB2312"/>
          <w:b/>
          <w:color w:val="auto"/>
          <w:sz w:val="28"/>
          <w:highlight w:val="none"/>
        </w:rPr>
      </w:pPr>
    </w:p>
    <w:p w14:paraId="4533B5C9">
      <w:pPr>
        <w:pStyle w:val="11"/>
        <w:jc w:val="center"/>
        <w:outlineLvl w:val="9"/>
        <w:rPr>
          <w:rFonts w:ascii="仿宋_GB2312" w:hAnsi="仿宋_GB2312" w:eastAsia="仿宋_GB2312" w:cs="仿宋_GB2312"/>
          <w:b/>
          <w:color w:val="auto"/>
          <w:sz w:val="28"/>
          <w:highlight w:val="none"/>
        </w:rPr>
      </w:pPr>
    </w:p>
    <w:p w14:paraId="41FDE0AA">
      <w:pPr>
        <w:pStyle w:val="11"/>
        <w:jc w:val="center"/>
        <w:outlineLvl w:val="9"/>
        <w:rPr>
          <w:rFonts w:ascii="仿宋_GB2312" w:hAnsi="仿宋_GB2312" w:eastAsia="仿宋_GB2312" w:cs="仿宋_GB2312"/>
          <w:b/>
          <w:color w:val="auto"/>
          <w:sz w:val="28"/>
          <w:highlight w:val="none"/>
        </w:rPr>
      </w:pPr>
    </w:p>
    <w:p w14:paraId="551BE927">
      <w:pPr>
        <w:pStyle w:val="11"/>
        <w:jc w:val="both"/>
        <w:outlineLvl w:val="9"/>
        <w:rPr>
          <w:rFonts w:ascii="仿宋_GB2312" w:hAnsi="仿宋_GB2312" w:eastAsia="仿宋_GB2312" w:cs="仿宋_GB2312"/>
          <w:b/>
          <w:color w:val="auto"/>
          <w:sz w:val="28"/>
          <w:highlight w:val="none"/>
        </w:rPr>
      </w:pPr>
    </w:p>
    <w:p w14:paraId="322887DB">
      <w:pPr>
        <w:pStyle w:val="11"/>
        <w:jc w:val="center"/>
        <w:outlineLvl w:val="9"/>
        <w:rPr>
          <w:rFonts w:ascii="宋体" w:hAnsi="宋体" w:eastAsia="宋体" w:cs="宋体"/>
          <w:sz w:val="24"/>
          <w:szCs w:val="24"/>
        </w:rPr>
      </w:pPr>
      <w:r>
        <w:rPr>
          <w:rFonts w:hint="eastAsia" w:ascii="仿宋_GB2312" w:hAnsi="仿宋_GB2312" w:eastAsia="仿宋_GB2312" w:cs="仿宋_GB2312"/>
          <w:b/>
          <w:sz w:val="28"/>
          <w:highlight w:val="none"/>
          <w:lang w:val="en-US" w:eastAsia="zh-CN"/>
        </w:rPr>
        <w:t xml:space="preserve">  </w:t>
      </w:r>
      <w:r>
        <w:rPr>
          <w:rFonts w:ascii="仿宋_GB2312" w:hAnsi="仿宋_GB2312" w:eastAsia="仿宋_GB2312" w:cs="仿宋_GB2312"/>
          <w:b/>
          <w:sz w:val="28"/>
          <w:highlight w:val="none"/>
        </w:rPr>
        <w:t>项目名称：</w:t>
      </w:r>
      <w:r>
        <w:rPr>
          <w:rFonts w:hint="eastAsia" w:ascii="宋体" w:hAnsi="宋体" w:eastAsia="宋体" w:cs="宋体"/>
          <w:sz w:val="24"/>
          <w:szCs w:val="24"/>
          <w:lang w:eastAsia="zh-CN"/>
        </w:rPr>
        <w:t>榕水大厦（福州市鼓楼区东街104号）</w:t>
      </w:r>
      <w:r>
        <w:rPr>
          <w:rFonts w:ascii="宋体" w:hAnsi="宋体" w:eastAsia="宋体" w:cs="宋体"/>
          <w:sz w:val="24"/>
          <w:szCs w:val="24"/>
        </w:rPr>
        <w:t>老旧线路</w:t>
      </w:r>
    </w:p>
    <w:p w14:paraId="7A04F532">
      <w:pPr>
        <w:pStyle w:val="11"/>
        <w:jc w:val="center"/>
        <w:outlineLvl w:val="9"/>
        <w:rPr>
          <w:rFonts w:hint="eastAsia" w:eastAsia="仿宋_GB2312"/>
          <w:highlight w:val="none"/>
          <w:lang w:eastAsia="zh-CN"/>
        </w:rPr>
      </w:pPr>
      <w:r>
        <w:rPr>
          <w:rFonts w:ascii="宋体" w:hAnsi="宋体" w:eastAsia="宋体" w:cs="宋体"/>
          <w:sz w:val="24"/>
          <w:szCs w:val="24"/>
        </w:rPr>
        <w:t>安全隐患年度排查检测</w:t>
      </w:r>
    </w:p>
    <w:p w14:paraId="2E1B68F9">
      <w:pPr>
        <w:pStyle w:val="11"/>
        <w:ind w:firstLine="1405" w:firstLineChars="500"/>
        <w:jc w:val="both"/>
        <w:outlineLvl w:val="9"/>
        <w:rPr>
          <w:rFonts w:hint="default" w:eastAsia="仿宋_GB2312"/>
          <w:highlight w:val="none"/>
          <w:lang w:val="en-US" w:eastAsia="zh-CN"/>
        </w:rPr>
      </w:pPr>
      <w:r>
        <w:rPr>
          <w:rFonts w:ascii="仿宋_GB2312" w:hAnsi="仿宋_GB2312" w:eastAsia="仿宋_GB2312" w:cs="仿宋_GB2312"/>
          <w:b/>
          <w:sz w:val="28"/>
          <w:highlight w:val="none"/>
        </w:rPr>
        <w:t>备案编号：</w:t>
      </w:r>
      <w:r>
        <w:rPr>
          <w:rFonts w:hint="default" w:ascii="仿宋_GB2312" w:hAnsi="仿宋_GB2312" w:eastAsia="仿宋_GB2312" w:cs="仿宋_GB2312"/>
          <w:b/>
          <w:sz w:val="28"/>
          <w:highlight w:val="none"/>
          <w:u w:val="single"/>
          <w:lang w:val="en-US" w:eastAsia="zh-CN"/>
        </w:rPr>
        <w:t>/</w:t>
      </w:r>
    </w:p>
    <w:p w14:paraId="75B10F7F">
      <w:pPr>
        <w:pStyle w:val="11"/>
        <w:ind w:firstLine="1405" w:firstLineChars="500"/>
        <w:jc w:val="both"/>
        <w:outlineLvl w:val="9"/>
        <w:rPr>
          <w:rFonts w:hint="default" w:eastAsia="宋体"/>
          <w:highlight w:val="none"/>
          <w:lang w:val="en-US" w:eastAsia="zh-CN"/>
        </w:rPr>
      </w:pPr>
      <w:r>
        <w:rPr>
          <w:rFonts w:ascii="仿宋_GB2312" w:hAnsi="仿宋_GB2312" w:eastAsia="仿宋_GB2312" w:cs="仿宋_GB2312"/>
          <w:b/>
          <w:sz w:val="28"/>
          <w:highlight w:val="none"/>
        </w:rPr>
        <w:t>项目编号：</w:t>
      </w:r>
      <w:r>
        <w:rPr>
          <w:rFonts w:hint="eastAsia" w:ascii="宋体" w:hAnsi="宋体" w:eastAsia="宋体" w:cs="宋体"/>
          <w:sz w:val="24"/>
          <w:szCs w:val="24"/>
        </w:rPr>
        <w:t>FSX</w:t>
      </w:r>
      <w:r>
        <w:rPr>
          <w:rFonts w:hint="eastAsia" w:ascii="宋体" w:hAnsi="宋体" w:eastAsia="宋体" w:cs="宋体"/>
          <w:sz w:val="24"/>
          <w:szCs w:val="24"/>
          <w:lang w:val="en-US" w:eastAsia="zh-CN"/>
        </w:rPr>
        <w:t>2026004-Y</w:t>
      </w:r>
    </w:p>
    <w:p w14:paraId="5E700A10">
      <w:pPr>
        <w:pStyle w:val="11"/>
        <w:jc w:val="center"/>
        <w:outlineLvl w:val="9"/>
        <w:rPr>
          <w:rFonts w:ascii="仿宋_GB2312" w:hAnsi="仿宋_GB2312" w:eastAsia="仿宋_GB2312" w:cs="仿宋_GB2312"/>
          <w:b/>
          <w:color w:val="auto"/>
          <w:sz w:val="28"/>
          <w:highlight w:val="none"/>
        </w:rPr>
      </w:pPr>
    </w:p>
    <w:p w14:paraId="46179AE8">
      <w:pPr>
        <w:pStyle w:val="11"/>
        <w:jc w:val="center"/>
        <w:outlineLvl w:val="9"/>
        <w:rPr>
          <w:rFonts w:ascii="仿宋_GB2312" w:hAnsi="仿宋_GB2312" w:eastAsia="仿宋_GB2312" w:cs="仿宋_GB2312"/>
          <w:b/>
          <w:color w:val="auto"/>
          <w:sz w:val="28"/>
          <w:highlight w:val="none"/>
        </w:rPr>
      </w:pPr>
    </w:p>
    <w:p w14:paraId="24A6CD9E">
      <w:pPr>
        <w:pStyle w:val="11"/>
        <w:jc w:val="center"/>
        <w:outlineLvl w:val="9"/>
        <w:rPr>
          <w:rFonts w:ascii="仿宋_GB2312" w:hAnsi="仿宋_GB2312" w:eastAsia="仿宋_GB2312" w:cs="仿宋_GB2312"/>
          <w:b/>
          <w:color w:val="auto"/>
          <w:sz w:val="28"/>
          <w:highlight w:val="none"/>
        </w:rPr>
      </w:pPr>
    </w:p>
    <w:p w14:paraId="21980CFB">
      <w:pPr>
        <w:pStyle w:val="11"/>
        <w:jc w:val="center"/>
        <w:outlineLvl w:val="9"/>
        <w:rPr>
          <w:rFonts w:ascii="仿宋_GB2312" w:hAnsi="仿宋_GB2312" w:eastAsia="仿宋_GB2312" w:cs="仿宋_GB2312"/>
          <w:b/>
          <w:color w:val="auto"/>
          <w:sz w:val="28"/>
          <w:highlight w:val="none"/>
        </w:rPr>
      </w:pPr>
    </w:p>
    <w:p w14:paraId="4239BB92">
      <w:pPr>
        <w:pStyle w:val="11"/>
        <w:jc w:val="center"/>
        <w:outlineLvl w:val="9"/>
        <w:rPr>
          <w:rFonts w:ascii="仿宋_GB2312" w:hAnsi="仿宋_GB2312" w:eastAsia="仿宋_GB2312" w:cs="仿宋_GB2312"/>
          <w:b/>
          <w:color w:val="auto"/>
          <w:sz w:val="28"/>
          <w:highlight w:val="none"/>
        </w:rPr>
      </w:pPr>
    </w:p>
    <w:p w14:paraId="58B8D014">
      <w:pPr>
        <w:pStyle w:val="11"/>
        <w:jc w:val="center"/>
        <w:outlineLvl w:val="9"/>
        <w:rPr>
          <w:rFonts w:hint="default" w:eastAsia="仿宋_GB2312"/>
          <w:color w:val="auto"/>
          <w:highlight w:val="none"/>
          <w:lang w:val="en-US"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u w:val="single"/>
          <w:lang w:val="en-US" w:eastAsia="zh-CN"/>
        </w:rPr>
        <w:t>福州市自来水有限公司</w:t>
      </w:r>
    </w:p>
    <w:p w14:paraId="1C83EA22">
      <w:pPr>
        <w:pStyle w:val="11"/>
        <w:jc w:val="center"/>
        <w:outlineLvl w:val="9"/>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编制时间：</w:t>
      </w:r>
      <w:r>
        <w:rPr>
          <w:rFonts w:hint="eastAsia" w:ascii="仿宋_GB2312" w:hAnsi="仿宋_GB2312" w:eastAsia="仿宋_GB2312" w:cs="仿宋_GB2312"/>
          <w:b/>
          <w:color w:val="auto"/>
          <w:sz w:val="28"/>
          <w:highlight w:val="none"/>
          <w:lang w:val="en-US" w:eastAsia="zh-CN"/>
        </w:rPr>
        <w:t xml:space="preserve">  2026 </w:t>
      </w:r>
      <w:r>
        <w:rPr>
          <w:rFonts w:ascii="仿宋_GB2312" w:hAnsi="仿宋_GB2312" w:eastAsia="仿宋_GB2312" w:cs="仿宋_GB2312"/>
          <w:b/>
          <w:color w:val="auto"/>
          <w:sz w:val="28"/>
          <w:highlight w:val="none"/>
        </w:rPr>
        <w:t>年</w:t>
      </w:r>
      <w:r>
        <w:rPr>
          <w:rFonts w:hint="eastAsia" w:ascii="仿宋_GB2312" w:hAnsi="仿宋_GB2312" w:eastAsia="仿宋_GB2312" w:cs="仿宋_GB2312"/>
          <w:b/>
          <w:color w:val="auto"/>
          <w:sz w:val="28"/>
          <w:highlight w:val="none"/>
          <w:lang w:val="en-US" w:eastAsia="zh-CN"/>
        </w:rPr>
        <w:t xml:space="preserve">  1 </w:t>
      </w:r>
      <w:r>
        <w:rPr>
          <w:rFonts w:ascii="仿宋_GB2312" w:hAnsi="仿宋_GB2312" w:eastAsia="仿宋_GB2312" w:cs="仿宋_GB2312"/>
          <w:b/>
          <w:color w:val="auto"/>
          <w:sz w:val="28"/>
          <w:highlight w:val="none"/>
        </w:rPr>
        <w:t>月</w:t>
      </w:r>
    </w:p>
    <w:p w14:paraId="7E635CBE">
      <w:pPr>
        <w:spacing w:before="156" w:beforeLines="50" w:after="312" w:afterLines="100" w:line="360" w:lineRule="auto"/>
        <w:jc w:val="center"/>
        <w:rPr>
          <w:rFonts w:hint="eastAsia" w:ascii="宋体" w:hAnsi="宋体" w:cs="宋体"/>
          <w:b/>
          <w:sz w:val="36"/>
          <w:szCs w:val="36"/>
          <w:highlight w:val="none"/>
        </w:rPr>
        <w:sectPr>
          <w:pgSz w:w="11906" w:h="16838"/>
          <w:pgMar w:top="1440" w:right="1800" w:bottom="1440" w:left="1800" w:header="851" w:footer="992" w:gutter="0"/>
          <w:cols w:space="425" w:num="1"/>
          <w:docGrid w:type="lines" w:linePitch="312" w:charSpace="0"/>
        </w:sectPr>
      </w:pPr>
    </w:p>
    <w:p w14:paraId="4B4CCEAD">
      <w:pPr>
        <w:spacing w:before="156" w:beforeLines="50" w:after="312" w:afterLines="100" w:line="360" w:lineRule="auto"/>
        <w:jc w:val="center"/>
        <w:rPr>
          <w:rFonts w:hint="eastAsia" w:ascii="宋体" w:hAnsi="宋体" w:cs="宋体"/>
          <w:b/>
          <w:sz w:val="36"/>
          <w:szCs w:val="36"/>
          <w:highlight w:val="none"/>
        </w:rPr>
      </w:pPr>
      <w:r>
        <w:rPr>
          <w:rFonts w:hint="eastAsia" w:ascii="宋体" w:hAnsi="宋体" w:cs="宋体"/>
          <w:b/>
          <w:sz w:val="36"/>
          <w:szCs w:val="36"/>
          <w:highlight w:val="none"/>
        </w:rPr>
        <w:t>使用说明</w:t>
      </w:r>
    </w:p>
    <w:p w14:paraId="284B5EE2">
      <w:pPr>
        <w:numPr>
          <w:ilvl w:val="0"/>
          <w:numId w:val="1"/>
        </w:numPr>
        <w:tabs>
          <w:tab w:val="left" w:pos="900"/>
        </w:tabs>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国有企业</w:t>
      </w:r>
      <w:r>
        <w:rPr>
          <w:rFonts w:hint="eastAsia" w:ascii="宋体" w:hAnsi="宋体" w:cs="宋体"/>
          <w:sz w:val="24"/>
          <w:szCs w:val="24"/>
          <w:highlight w:val="none"/>
        </w:rPr>
        <w:t>采购项目</w:t>
      </w:r>
      <w:r>
        <w:rPr>
          <w:rFonts w:hint="eastAsia" w:ascii="宋体" w:hAnsi="宋体" w:cs="宋体"/>
          <w:sz w:val="24"/>
          <w:szCs w:val="24"/>
          <w:highlight w:val="none"/>
          <w:lang w:eastAsia="zh-CN"/>
        </w:rPr>
        <w:t>询比</w:t>
      </w:r>
      <w:r>
        <w:rPr>
          <w:rFonts w:hint="eastAsia" w:ascii="宋体" w:hAnsi="宋体" w:cs="宋体"/>
          <w:sz w:val="24"/>
          <w:szCs w:val="24"/>
          <w:highlight w:val="none"/>
        </w:rPr>
        <w:t>文件（</w:t>
      </w:r>
      <w:r>
        <w:rPr>
          <w:rFonts w:hint="eastAsia" w:ascii="宋体" w:hAnsi="宋体" w:cs="宋体"/>
          <w:sz w:val="24"/>
          <w:szCs w:val="24"/>
          <w:highlight w:val="none"/>
          <w:lang w:eastAsia="zh-CN"/>
        </w:rPr>
        <w:t>服务</w:t>
      </w:r>
      <w:r>
        <w:rPr>
          <w:rFonts w:hint="eastAsia" w:ascii="宋体" w:hAnsi="宋体" w:cs="宋体"/>
          <w:sz w:val="24"/>
          <w:szCs w:val="24"/>
          <w:highlight w:val="none"/>
        </w:rPr>
        <w:t>类）》（以下简称“《</w:t>
      </w:r>
      <w:r>
        <w:rPr>
          <w:rFonts w:hint="eastAsia" w:ascii="宋体" w:hAnsi="宋体" w:cs="宋体"/>
          <w:sz w:val="24"/>
          <w:szCs w:val="24"/>
          <w:highlight w:val="none"/>
          <w:lang w:eastAsia="zh-CN"/>
        </w:rPr>
        <w:t>询比文件</w:t>
      </w:r>
      <w:r>
        <w:rPr>
          <w:rFonts w:hint="eastAsia" w:ascii="宋体" w:hAnsi="宋体" w:cs="宋体"/>
          <w:sz w:val="24"/>
          <w:szCs w:val="24"/>
          <w:highlight w:val="none"/>
        </w:rPr>
        <w:t>》”）是根据《</w:t>
      </w:r>
      <w:r>
        <w:rPr>
          <w:rFonts w:hint="eastAsia" w:ascii="宋体" w:hAnsi="宋体" w:cs="宋体"/>
          <w:sz w:val="24"/>
          <w:szCs w:val="24"/>
          <w:highlight w:val="none"/>
          <w:lang w:eastAsia="zh-CN"/>
        </w:rPr>
        <w:t>福州市国资委所出资企业采购管理办法》</w:t>
      </w:r>
      <w:r>
        <w:rPr>
          <w:rFonts w:hint="eastAsia" w:ascii="宋体" w:hAnsi="宋体" w:cs="宋体"/>
          <w:sz w:val="24"/>
          <w:szCs w:val="24"/>
          <w:highlight w:val="none"/>
        </w:rPr>
        <w:t>，结合</w:t>
      </w:r>
      <w:r>
        <w:rPr>
          <w:rFonts w:hint="eastAsia" w:ascii="宋体" w:hAnsi="宋体" w:cs="宋体"/>
          <w:sz w:val="24"/>
          <w:szCs w:val="24"/>
          <w:highlight w:val="none"/>
          <w:lang w:eastAsia="zh-CN"/>
        </w:rPr>
        <w:t>福州市</w:t>
      </w:r>
      <w:r>
        <w:rPr>
          <w:rFonts w:hint="eastAsia" w:ascii="宋体" w:hAnsi="宋体" w:cs="宋体"/>
          <w:sz w:val="24"/>
          <w:szCs w:val="24"/>
          <w:highlight w:val="none"/>
        </w:rPr>
        <w:t>实际情况编制的，适用于</w:t>
      </w:r>
      <w:r>
        <w:rPr>
          <w:rFonts w:hint="eastAsia" w:ascii="宋体" w:hAnsi="宋体" w:cs="宋体"/>
          <w:sz w:val="24"/>
          <w:szCs w:val="24"/>
          <w:highlight w:val="none"/>
          <w:lang w:eastAsia="zh-CN"/>
        </w:rPr>
        <w:t>福州市人民政府国有资产监督管理委员会依法履行国有资产出资人职责的企业及其全资、控股子企业的采购活动。</w:t>
      </w:r>
    </w:p>
    <w:p w14:paraId="5D29134B">
      <w:pPr>
        <w:numPr>
          <w:ilvl w:val="0"/>
          <w:numId w:val="1"/>
        </w:numPr>
        <w:tabs>
          <w:tab w:val="left" w:pos="900"/>
        </w:tabs>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询比文件</w:t>
      </w:r>
      <w:r>
        <w:rPr>
          <w:rFonts w:hint="eastAsia" w:ascii="宋体" w:hAnsi="宋体" w:cs="宋体"/>
          <w:sz w:val="24"/>
          <w:szCs w:val="24"/>
          <w:highlight w:val="none"/>
        </w:rPr>
        <w:t>》包括第1章“</w:t>
      </w:r>
      <w:r>
        <w:rPr>
          <w:rFonts w:hint="eastAsia" w:ascii="宋体" w:hAnsi="宋体" w:cs="宋体"/>
          <w:sz w:val="24"/>
          <w:szCs w:val="24"/>
          <w:highlight w:val="none"/>
          <w:lang w:eastAsia="zh-CN"/>
        </w:rPr>
        <w:t>采购公告</w:t>
      </w:r>
      <w:r>
        <w:rPr>
          <w:rFonts w:hint="eastAsia" w:ascii="宋体" w:hAnsi="宋体" w:cs="宋体"/>
          <w:sz w:val="24"/>
          <w:szCs w:val="24"/>
          <w:highlight w:val="none"/>
          <w:lang w:val="en-US" w:eastAsia="zh-CN"/>
        </w:rPr>
        <w:t>/采购邀请书</w:t>
      </w:r>
      <w:r>
        <w:rPr>
          <w:rFonts w:hint="eastAsia" w:ascii="宋体" w:hAnsi="宋体" w:cs="宋体"/>
          <w:sz w:val="24"/>
          <w:szCs w:val="24"/>
          <w:highlight w:val="none"/>
        </w:rPr>
        <w:t>”、第2章“</w:t>
      </w:r>
      <w:r>
        <w:rPr>
          <w:rFonts w:hint="eastAsia" w:ascii="宋体" w:hAnsi="宋体" w:cs="宋体"/>
          <w:sz w:val="24"/>
          <w:szCs w:val="24"/>
          <w:highlight w:val="none"/>
          <w:lang w:eastAsia="zh-CN"/>
        </w:rPr>
        <w:t>询比须知</w:t>
      </w:r>
      <w:r>
        <w:rPr>
          <w:rFonts w:hint="eastAsia" w:ascii="宋体" w:hAnsi="宋体" w:cs="宋体"/>
          <w:sz w:val="24"/>
          <w:szCs w:val="24"/>
          <w:highlight w:val="none"/>
        </w:rPr>
        <w:t>”、第3章“</w:t>
      </w:r>
      <w:r>
        <w:rPr>
          <w:rFonts w:hint="eastAsia" w:ascii="宋体" w:hAnsi="宋体" w:cs="宋体"/>
          <w:sz w:val="24"/>
          <w:szCs w:val="24"/>
          <w:highlight w:val="none"/>
          <w:lang w:eastAsia="zh-CN"/>
        </w:rPr>
        <w:t>评审</w:t>
      </w:r>
      <w:r>
        <w:rPr>
          <w:rFonts w:hint="eastAsia" w:ascii="宋体" w:hAnsi="宋体" w:cs="宋体"/>
          <w:sz w:val="24"/>
          <w:szCs w:val="24"/>
          <w:highlight w:val="none"/>
        </w:rPr>
        <w:t>”、第4章“</w:t>
      </w:r>
      <w:r>
        <w:rPr>
          <w:rFonts w:hint="eastAsia" w:ascii="宋体" w:hAnsi="宋体" w:cs="宋体"/>
          <w:sz w:val="24"/>
          <w:szCs w:val="24"/>
          <w:highlight w:val="none"/>
          <w:lang w:eastAsia="zh-CN"/>
        </w:rPr>
        <w:t>询比内容及要求</w:t>
      </w:r>
      <w:r>
        <w:rPr>
          <w:rFonts w:hint="eastAsia" w:ascii="宋体" w:hAnsi="宋体" w:cs="宋体"/>
          <w:sz w:val="24"/>
          <w:szCs w:val="24"/>
          <w:highlight w:val="none"/>
        </w:rPr>
        <w:t>”、第5章“</w:t>
      </w:r>
      <w:r>
        <w:rPr>
          <w:rFonts w:hint="eastAsia" w:ascii="宋体" w:hAnsi="宋体" w:cs="宋体"/>
          <w:sz w:val="24"/>
          <w:szCs w:val="24"/>
          <w:highlight w:val="none"/>
          <w:lang w:eastAsia="zh-CN"/>
        </w:rPr>
        <w:t>国有企业采购合同”、第</w:t>
      </w:r>
      <w:r>
        <w:rPr>
          <w:rFonts w:hint="eastAsia" w:ascii="宋体" w:hAnsi="宋体" w:cs="宋体"/>
          <w:sz w:val="24"/>
          <w:szCs w:val="24"/>
          <w:highlight w:val="none"/>
          <w:lang w:val="en-US" w:eastAsia="zh-CN"/>
        </w:rPr>
        <w:t>6章“响应文件格式”</w:t>
      </w:r>
      <w:r>
        <w:rPr>
          <w:rFonts w:hint="eastAsia" w:ascii="宋体" w:hAnsi="宋体" w:cs="宋体"/>
          <w:sz w:val="24"/>
          <w:szCs w:val="24"/>
          <w:highlight w:val="none"/>
        </w:rPr>
        <w:t>。</w:t>
      </w:r>
    </w:p>
    <w:p w14:paraId="1E994162">
      <w:pPr>
        <w:numPr>
          <w:ilvl w:val="0"/>
          <w:numId w:val="1"/>
        </w:numPr>
        <w:tabs>
          <w:tab w:val="left" w:pos="900"/>
        </w:tabs>
        <w:spacing w:line="48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《询比文件》第</w:t>
      </w:r>
      <w:r>
        <w:rPr>
          <w:rFonts w:hint="eastAsia" w:ascii="宋体" w:hAnsi="宋体" w:cs="宋体"/>
          <w:sz w:val="24"/>
          <w:szCs w:val="24"/>
          <w:highlight w:val="none"/>
          <w:lang w:val="en-US" w:eastAsia="zh-CN"/>
        </w:rPr>
        <w:t>5章“</w:t>
      </w:r>
      <w:r>
        <w:rPr>
          <w:rFonts w:hint="eastAsia" w:ascii="宋体" w:hAnsi="宋体" w:cs="宋体"/>
          <w:sz w:val="24"/>
          <w:szCs w:val="24"/>
          <w:highlight w:val="none"/>
          <w:lang w:eastAsia="zh-CN"/>
        </w:rPr>
        <w:t>国有企业采购合同</w:t>
      </w:r>
      <w:r>
        <w:rPr>
          <w:rFonts w:hint="eastAsia" w:ascii="宋体" w:hAnsi="宋体" w:cs="宋体"/>
          <w:sz w:val="24"/>
          <w:szCs w:val="24"/>
          <w:highlight w:val="none"/>
          <w:lang w:val="en-US" w:eastAsia="zh-CN"/>
        </w:rPr>
        <w:t>”中</w:t>
      </w:r>
      <w:r>
        <w:rPr>
          <w:rFonts w:hint="eastAsia" w:ascii="宋体" w:hAnsi="宋体" w:cs="宋体"/>
          <w:sz w:val="24"/>
          <w:szCs w:val="24"/>
          <w:highlight w:val="none"/>
          <w:lang w:eastAsia="zh-CN"/>
        </w:rPr>
        <w:t>，签订合同应遵守《中华人民共和国民法典》等法律法规及其他有关规定。签订合同时，采购人与成交供应商应结合采购文件规定填列相应内容。采购文件已有约定的，双方均不得对约定进行变更或调整；采购文件未作规定的，双方可通过友好协商进行约定。</w:t>
      </w:r>
    </w:p>
    <w:p w14:paraId="5A0D26E0">
      <w:pPr>
        <w:numPr>
          <w:ilvl w:val="0"/>
          <w:numId w:val="1"/>
        </w:numPr>
        <w:tabs>
          <w:tab w:val="left" w:pos="900"/>
        </w:tabs>
        <w:spacing w:line="480" w:lineRule="exact"/>
        <w:ind w:firstLine="480" w:firstLineChars="200"/>
        <w:rPr>
          <w:rFonts w:hint="eastAsia" w:ascii="宋体" w:hAnsi="宋体" w:cs="宋体"/>
          <w:sz w:val="24"/>
          <w:szCs w:val="24"/>
          <w:highlight w:val="none"/>
        </w:rPr>
      </w:pPr>
      <w:r>
        <w:rPr>
          <w:rStyle w:val="12"/>
          <w:rFonts w:hint="eastAsia" w:ascii="宋体" w:hAnsi="宋体" w:cs="宋体"/>
          <w:sz w:val="24"/>
          <w:szCs w:val="24"/>
          <w:highlight w:val="none"/>
          <w:lang w:eastAsia="zh-CN"/>
        </w:rPr>
        <w:t>国有企业以购买、租赁、委托或雇用等合同方式，单项或批量采购</w:t>
      </w:r>
      <w:r>
        <w:rPr>
          <w:rStyle w:val="12"/>
          <w:rFonts w:hint="eastAsia" w:ascii="宋体" w:hAnsi="宋体" w:cs="宋体"/>
          <w:sz w:val="24"/>
          <w:szCs w:val="24"/>
          <w:highlight w:val="none"/>
          <w:lang w:val="en-US" w:eastAsia="zh-CN"/>
        </w:rPr>
        <w:t>30万元（含）以上，200万元（不含）以下的货物和服务等行为，根据制度规范或经履行企业内部决策程序后，可采用询比采购、竞价采购、竞争性谈判、竞争性磋商、单一来源采购、直接采购等非招标采购方式进行采购。</w:t>
      </w:r>
    </w:p>
    <w:p w14:paraId="1FBBDCEA">
      <w:pPr>
        <w:numPr>
          <w:ilvl w:val="0"/>
          <w:numId w:val="1"/>
        </w:numPr>
        <w:tabs>
          <w:tab w:val="left" w:pos="900"/>
        </w:tabs>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cs="宋体"/>
          <w:sz w:val="24"/>
          <w:szCs w:val="24"/>
          <w:highlight w:val="none"/>
        </w:rPr>
        <w:t>委托</w:t>
      </w:r>
      <w:r>
        <w:rPr>
          <w:rFonts w:hint="eastAsia" w:ascii="宋体" w:hAnsi="宋体" w:cs="宋体"/>
          <w:sz w:val="24"/>
          <w:szCs w:val="24"/>
          <w:highlight w:val="none"/>
          <w:lang w:eastAsia="zh-CN"/>
        </w:rPr>
        <w:t>采购代理机构采购</w:t>
      </w:r>
      <w:r>
        <w:rPr>
          <w:rFonts w:hint="eastAsia" w:ascii="宋体" w:hAnsi="宋体" w:cs="宋体"/>
          <w:sz w:val="24"/>
          <w:szCs w:val="24"/>
          <w:highlight w:val="none"/>
        </w:rPr>
        <w:t>的，则</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应在</w:t>
      </w:r>
      <w:r>
        <w:rPr>
          <w:rFonts w:hint="eastAsia" w:ascii="宋体" w:hAnsi="宋体" w:cs="宋体"/>
          <w:sz w:val="24"/>
          <w:szCs w:val="24"/>
          <w:highlight w:val="none"/>
          <w:lang w:eastAsia="zh-CN"/>
        </w:rPr>
        <w:t>采购</w:t>
      </w:r>
      <w:r>
        <w:rPr>
          <w:rFonts w:hint="eastAsia" w:ascii="宋体" w:hAnsi="宋体" w:cs="宋体"/>
          <w:sz w:val="24"/>
          <w:szCs w:val="24"/>
          <w:highlight w:val="none"/>
        </w:rPr>
        <w:t>全过程中以被代理人名义办理</w:t>
      </w:r>
      <w:r>
        <w:rPr>
          <w:rFonts w:hint="eastAsia" w:ascii="宋体" w:hAnsi="宋体" w:cs="宋体"/>
          <w:sz w:val="24"/>
          <w:szCs w:val="24"/>
          <w:highlight w:val="none"/>
          <w:lang w:eastAsia="zh-CN"/>
        </w:rPr>
        <w:t>采购</w:t>
      </w:r>
      <w:r>
        <w:rPr>
          <w:rFonts w:hint="eastAsia" w:ascii="宋体" w:hAnsi="宋体" w:cs="宋体"/>
          <w:sz w:val="24"/>
          <w:szCs w:val="24"/>
          <w:highlight w:val="none"/>
        </w:rPr>
        <w:t>人委托范围内的事宜，并承担相应责任。</w:t>
      </w:r>
    </w:p>
    <w:p w14:paraId="259123E6">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6"/>
          <w:szCs w:val="36"/>
          <w:highlight w:val="none"/>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p>
    <w:sdt>
      <w:sdtPr>
        <w:rPr>
          <w:rFonts w:hint="eastAsia" w:ascii="方正小标宋简体" w:hAnsi="方正小标宋简体" w:eastAsia="方正小标宋简体" w:cs="方正小标宋简体"/>
          <w:kern w:val="2"/>
          <w:sz w:val="36"/>
          <w:szCs w:val="36"/>
          <w:highlight w:val="none"/>
          <w:lang w:val="en-US" w:eastAsia="zh-CN" w:bidi="ar-SA"/>
        </w:rPr>
        <w:id w:val="147479544"/>
      </w:sdtPr>
      <w:sdtEndPr>
        <w:rPr>
          <w:rFonts w:hint="eastAsia" w:ascii="方正小标宋简体" w:hAnsi="方正小标宋简体" w:eastAsia="方正小标宋简体" w:cs="方正小标宋简体"/>
          <w:kern w:val="2"/>
          <w:sz w:val="36"/>
          <w:szCs w:val="36"/>
          <w:highlight w:val="none"/>
          <w:lang w:val="en-US" w:eastAsia="zh-CN" w:bidi="ar-SA"/>
        </w:rPr>
      </w:sdtEndPr>
      <w:sdtContent>
        <w:p w14:paraId="4E790D7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6"/>
              <w:szCs w:val="36"/>
              <w:highlight w:val="none"/>
            </w:rPr>
          </w:pPr>
          <w:bookmarkStart w:id="0" w:name="_Toc2019118137_WPSOffice_Type1"/>
          <w:r>
            <w:rPr>
              <w:rFonts w:hint="eastAsia" w:ascii="方正小标宋简体" w:hAnsi="方正小标宋简体" w:eastAsia="方正小标宋简体" w:cs="方正小标宋简体"/>
              <w:sz w:val="36"/>
              <w:szCs w:val="36"/>
              <w:highlight w:val="none"/>
            </w:rPr>
            <w:t>目录</w:t>
          </w:r>
        </w:p>
        <w:p w14:paraId="6796CECB">
          <w:pPr>
            <w:pStyle w:val="13"/>
            <w:tabs>
              <w:tab w:val="right" w:leader="dot" w:pos="8306"/>
            </w:tabs>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fldChar w:fldCharType="begin"/>
          </w:r>
          <w:r>
            <w:rPr>
              <w:rFonts w:hint="eastAsia" w:asciiTheme="minorEastAsia" w:hAnsiTheme="minorEastAsia" w:cstheme="minorEastAsia"/>
              <w:sz w:val="24"/>
              <w:szCs w:val="24"/>
              <w:highlight w:val="none"/>
            </w:rPr>
            <w:instrText xml:space="preserve"> HYPERLINK \l _Toc187452590_WPSOffice_Level1 </w:instrText>
          </w:r>
          <w:r>
            <w:rPr>
              <w:rFonts w:hint="eastAsia" w:asciiTheme="minorEastAsia" w:hAnsiTheme="minorEastAsia" w:cstheme="minorEastAsia"/>
              <w:sz w:val="24"/>
              <w:szCs w:val="24"/>
              <w:highlight w:val="none"/>
            </w:rPr>
            <w:fldChar w:fldCharType="separate"/>
          </w:r>
          <w:sdt>
            <w:sdtPr>
              <w:rPr>
                <w:rFonts w:hint="eastAsia" w:asciiTheme="minorEastAsia" w:hAnsiTheme="minorEastAsia" w:eastAsiaTheme="minorEastAsia" w:cstheme="minorEastAsia"/>
                <w:kern w:val="2"/>
                <w:sz w:val="24"/>
                <w:szCs w:val="24"/>
                <w:highlight w:val="none"/>
                <w:lang w:val="en-US" w:eastAsia="zh-CN" w:bidi="ar-SA"/>
              </w:rPr>
              <w:id w:val="411003249"/>
              <w:placeholder>
                <w:docPart w:val="{8dad5cb0-e403-49f1-a185-c2289cd82f8f}"/>
              </w:placeholder>
            </w:sdtPr>
            <w:sdtEndPr>
              <w:rPr>
                <w:rFonts w:hint="eastAsia" w:asciiTheme="minorEastAsia" w:hAnsiTheme="minorEastAsia" w:eastAsiaTheme="minorEastAsia" w:cstheme="minorEastAsia"/>
                <w:kern w:val="2"/>
                <w:sz w:val="24"/>
                <w:szCs w:val="24"/>
                <w:highlight w:val="none"/>
                <w:lang w:val="en-US" w:eastAsia="zh-CN" w:bidi="ar-SA"/>
              </w:rPr>
            </w:sdtEndPr>
            <w:sdtContent>
              <w:r>
                <w:rPr>
                  <w:rFonts w:hint="eastAsia" w:asciiTheme="minorEastAsia" w:hAnsiTheme="minorEastAsia" w:eastAsiaTheme="minorEastAsia" w:cstheme="minorEastAsia"/>
                  <w:sz w:val="24"/>
                  <w:szCs w:val="24"/>
                  <w:highlight w:val="none"/>
                </w:rPr>
                <w:t>第一章 采购公告/采购邀请书</w:t>
              </w:r>
            </w:sdtContent>
          </w:sdt>
          <w:r>
            <w:rPr>
              <w:rFonts w:hint="eastAsia" w:asciiTheme="minorEastAsia" w:hAnsiTheme="minorEastAsia" w:cstheme="minorEastAsia"/>
              <w:sz w:val="24"/>
              <w:szCs w:val="24"/>
              <w:highlight w:val="none"/>
            </w:rPr>
            <w:tab/>
          </w:r>
          <w:bookmarkStart w:id="1" w:name="_Toc187452590_WPSOffice_Level1Page"/>
          <w:r>
            <w:rPr>
              <w:rFonts w:hint="eastAsia" w:asciiTheme="minorEastAsia" w:hAnsiTheme="minorEastAsia" w:cstheme="minorEastAsia"/>
              <w:sz w:val="24"/>
              <w:szCs w:val="24"/>
              <w:highlight w:val="none"/>
            </w:rPr>
            <w:t>1</w:t>
          </w:r>
          <w:bookmarkEnd w:id="1"/>
          <w:r>
            <w:rPr>
              <w:rFonts w:hint="eastAsia" w:asciiTheme="minorEastAsia" w:hAnsiTheme="minorEastAsia" w:cstheme="minorEastAsia"/>
              <w:sz w:val="24"/>
              <w:szCs w:val="24"/>
              <w:highlight w:val="none"/>
            </w:rPr>
            <w:fldChar w:fldCharType="end"/>
          </w:r>
        </w:p>
        <w:p w14:paraId="67CDABF2">
          <w:pPr>
            <w:pStyle w:val="13"/>
            <w:tabs>
              <w:tab w:val="right" w:leader="dot" w:pos="8306"/>
            </w:tabs>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fldChar w:fldCharType="begin"/>
          </w:r>
          <w:r>
            <w:rPr>
              <w:rFonts w:hint="eastAsia" w:asciiTheme="minorEastAsia" w:hAnsiTheme="minorEastAsia" w:cstheme="minorEastAsia"/>
              <w:sz w:val="24"/>
              <w:szCs w:val="24"/>
              <w:highlight w:val="none"/>
            </w:rPr>
            <w:instrText xml:space="preserve"> HYPERLINK \l _Toc2019118137_WPSOffice_Level1 </w:instrText>
          </w:r>
          <w:r>
            <w:rPr>
              <w:rFonts w:hint="eastAsia" w:asciiTheme="minorEastAsia" w:hAnsiTheme="minorEastAsia" w:cstheme="minorEastAsia"/>
              <w:sz w:val="24"/>
              <w:szCs w:val="24"/>
              <w:highlight w:val="none"/>
            </w:rPr>
            <w:fldChar w:fldCharType="separate"/>
          </w:r>
          <w:sdt>
            <w:sdtPr>
              <w:rPr>
                <w:rFonts w:hint="eastAsia" w:asciiTheme="minorEastAsia" w:hAnsiTheme="minorEastAsia" w:eastAsiaTheme="minorEastAsia" w:cstheme="minorEastAsia"/>
                <w:kern w:val="2"/>
                <w:sz w:val="24"/>
                <w:szCs w:val="24"/>
                <w:highlight w:val="none"/>
                <w:lang w:val="en-US" w:eastAsia="zh-CN" w:bidi="ar-SA"/>
              </w:rPr>
              <w:id w:val="147473731"/>
              <w:placeholder>
                <w:docPart w:val="{2eed64ab-e12f-4fcc-a7c5-75e16d25875f}"/>
              </w:placeholder>
            </w:sdtPr>
            <w:sdtEndPr>
              <w:rPr>
                <w:rFonts w:hint="eastAsia" w:asciiTheme="minorEastAsia" w:hAnsiTheme="minorEastAsia" w:eastAsiaTheme="minorEastAsia" w:cstheme="minorEastAsia"/>
                <w:kern w:val="2"/>
                <w:sz w:val="24"/>
                <w:szCs w:val="24"/>
                <w:highlight w:val="none"/>
                <w:lang w:val="en-US" w:eastAsia="zh-CN" w:bidi="ar-SA"/>
              </w:rPr>
            </w:sdtEndPr>
            <w:sdtContent>
              <w:r>
                <w:rPr>
                  <w:rFonts w:hint="eastAsia" w:asciiTheme="minorEastAsia" w:hAnsiTheme="minorEastAsia" w:eastAsiaTheme="minorEastAsia" w:cstheme="minorEastAsia"/>
                  <w:sz w:val="24"/>
                  <w:szCs w:val="24"/>
                  <w:highlight w:val="none"/>
                </w:rPr>
                <w:t>第二章 询比须知</w:t>
              </w:r>
            </w:sdtContent>
          </w:sdt>
          <w:r>
            <w:rPr>
              <w:rFonts w:hint="eastAsia" w:asciiTheme="minorEastAsia" w:hAnsiTheme="minorEastAsia" w:cstheme="minorEastAsia"/>
              <w:sz w:val="24"/>
              <w:szCs w:val="24"/>
              <w:highlight w:val="none"/>
            </w:rPr>
            <w:tab/>
          </w:r>
          <w:bookmarkStart w:id="2" w:name="_Toc2019118137_WPSOffice_Level1Page"/>
          <w:r>
            <w:rPr>
              <w:rFonts w:hint="eastAsia" w:asciiTheme="minorEastAsia" w:hAnsiTheme="minorEastAsia" w:cstheme="minorEastAsia"/>
              <w:sz w:val="24"/>
              <w:szCs w:val="24"/>
              <w:highlight w:val="none"/>
            </w:rPr>
            <w:t>3</w:t>
          </w:r>
          <w:bookmarkEnd w:id="2"/>
          <w:r>
            <w:rPr>
              <w:rFonts w:hint="eastAsia" w:asciiTheme="minorEastAsia" w:hAnsiTheme="minorEastAsia" w:cstheme="minorEastAsia"/>
              <w:sz w:val="24"/>
              <w:szCs w:val="24"/>
              <w:highlight w:val="none"/>
            </w:rPr>
            <w:fldChar w:fldCharType="end"/>
          </w:r>
        </w:p>
        <w:p w14:paraId="61A1E9CE">
          <w:pPr>
            <w:pStyle w:val="13"/>
            <w:tabs>
              <w:tab w:val="right" w:leader="dot" w:pos="8306"/>
            </w:tabs>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fldChar w:fldCharType="begin"/>
          </w:r>
          <w:r>
            <w:rPr>
              <w:rFonts w:hint="eastAsia" w:asciiTheme="minorEastAsia" w:hAnsiTheme="minorEastAsia" w:cstheme="minorEastAsia"/>
              <w:sz w:val="24"/>
              <w:szCs w:val="24"/>
              <w:highlight w:val="none"/>
            </w:rPr>
            <w:instrText xml:space="preserve"> HYPERLINK \l _Toc1590174253_WPSOffice_Level1 </w:instrText>
          </w:r>
          <w:r>
            <w:rPr>
              <w:rFonts w:hint="eastAsia" w:asciiTheme="minorEastAsia" w:hAnsiTheme="minorEastAsia" w:cstheme="minorEastAsia"/>
              <w:sz w:val="24"/>
              <w:szCs w:val="24"/>
              <w:highlight w:val="none"/>
            </w:rPr>
            <w:fldChar w:fldCharType="separate"/>
          </w:r>
          <w:sdt>
            <w:sdtPr>
              <w:rPr>
                <w:rFonts w:hint="eastAsia" w:asciiTheme="minorEastAsia" w:hAnsiTheme="minorEastAsia" w:eastAsiaTheme="minorEastAsia" w:cstheme="minorEastAsia"/>
                <w:kern w:val="2"/>
                <w:sz w:val="24"/>
                <w:szCs w:val="24"/>
                <w:highlight w:val="none"/>
                <w:lang w:val="en-US" w:eastAsia="zh-CN" w:bidi="ar-SA"/>
              </w:rPr>
              <w:id w:val="147476806"/>
              <w:placeholder>
                <w:docPart w:val="{169b255f-c4fc-4e3e-bc3a-218c524385db}"/>
              </w:placeholder>
            </w:sdtPr>
            <w:sdtEndPr>
              <w:rPr>
                <w:rFonts w:hint="eastAsia" w:asciiTheme="minorEastAsia" w:hAnsiTheme="minorEastAsia" w:eastAsiaTheme="minorEastAsia" w:cstheme="minorEastAsia"/>
                <w:kern w:val="2"/>
                <w:sz w:val="24"/>
                <w:szCs w:val="24"/>
                <w:highlight w:val="none"/>
                <w:lang w:val="en-US" w:eastAsia="zh-CN" w:bidi="ar-SA"/>
              </w:rPr>
            </w:sdtEndPr>
            <w:sdtContent>
              <w:r>
                <w:rPr>
                  <w:rFonts w:hint="eastAsia" w:asciiTheme="minorEastAsia" w:hAnsiTheme="minorEastAsia" w:eastAsiaTheme="minorEastAsia" w:cstheme="minorEastAsia"/>
                  <w:sz w:val="24"/>
                  <w:szCs w:val="24"/>
                  <w:highlight w:val="none"/>
                </w:rPr>
                <w:t>第三章 评审</w:t>
              </w:r>
            </w:sdtContent>
          </w:sdt>
          <w:r>
            <w:rPr>
              <w:rFonts w:hint="eastAsia" w:asciiTheme="minorEastAsia" w:hAnsiTheme="minorEastAsia" w:cstheme="minorEastAsia"/>
              <w:sz w:val="24"/>
              <w:szCs w:val="24"/>
              <w:highlight w:val="none"/>
            </w:rPr>
            <w:tab/>
          </w:r>
          <w:bookmarkStart w:id="3" w:name="_Toc1590174253_WPSOffice_Level1Page"/>
          <w:r>
            <w:rPr>
              <w:rFonts w:hint="eastAsia" w:asciiTheme="minorEastAsia" w:hAnsiTheme="minorEastAsia" w:cstheme="minorEastAsia"/>
              <w:sz w:val="24"/>
              <w:szCs w:val="24"/>
              <w:highlight w:val="none"/>
            </w:rPr>
            <w:t>15</w:t>
          </w:r>
          <w:bookmarkEnd w:id="3"/>
          <w:r>
            <w:rPr>
              <w:rFonts w:hint="eastAsia" w:asciiTheme="minorEastAsia" w:hAnsiTheme="minorEastAsia" w:cstheme="minorEastAsia"/>
              <w:sz w:val="24"/>
              <w:szCs w:val="24"/>
              <w:highlight w:val="none"/>
            </w:rPr>
            <w:fldChar w:fldCharType="end"/>
          </w:r>
        </w:p>
        <w:p w14:paraId="3A453220">
          <w:pPr>
            <w:pStyle w:val="13"/>
            <w:tabs>
              <w:tab w:val="right" w:leader="dot" w:pos="8306"/>
            </w:tabs>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fldChar w:fldCharType="begin"/>
          </w:r>
          <w:r>
            <w:rPr>
              <w:rFonts w:hint="eastAsia" w:asciiTheme="minorEastAsia" w:hAnsiTheme="minorEastAsia" w:cstheme="minorEastAsia"/>
              <w:sz w:val="24"/>
              <w:szCs w:val="24"/>
              <w:highlight w:val="none"/>
            </w:rPr>
            <w:instrText xml:space="preserve"> HYPERLINK \l _Toc990955260_WPSOffice_Level1 </w:instrText>
          </w:r>
          <w:r>
            <w:rPr>
              <w:rFonts w:hint="eastAsia" w:asciiTheme="minorEastAsia" w:hAnsiTheme="minorEastAsia" w:cstheme="minorEastAsia"/>
              <w:sz w:val="24"/>
              <w:szCs w:val="24"/>
              <w:highlight w:val="none"/>
            </w:rPr>
            <w:fldChar w:fldCharType="separate"/>
          </w:r>
          <w:sdt>
            <w:sdtPr>
              <w:rPr>
                <w:rFonts w:hint="eastAsia" w:asciiTheme="minorEastAsia" w:hAnsiTheme="minorEastAsia" w:eastAsiaTheme="minorEastAsia" w:cstheme="minorEastAsia"/>
                <w:kern w:val="2"/>
                <w:sz w:val="24"/>
                <w:szCs w:val="24"/>
                <w:highlight w:val="none"/>
                <w:lang w:val="en-US" w:eastAsia="zh-CN" w:bidi="ar-SA"/>
              </w:rPr>
              <w:id w:val="147466742"/>
              <w:placeholder>
                <w:docPart w:val="{cdc221ac-c552-4ff8-91b2-2ecf86c84905}"/>
              </w:placeholder>
            </w:sdtPr>
            <w:sdtEndPr>
              <w:rPr>
                <w:rFonts w:hint="eastAsia" w:asciiTheme="minorEastAsia" w:hAnsiTheme="minorEastAsia" w:eastAsiaTheme="minorEastAsia" w:cstheme="minorEastAsia"/>
                <w:kern w:val="2"/>
                <w:sz w:val="24"/>
                <w:szCs w:val="24"/>
                <w:highlight w:val="none"/>
                <w:lang w:val="en-US" w:eastAsia="zh-CN" w:bidi="ar-SA"/>
              </w:rPr>
            </w:sdtEndPr>
            <w:sdtContent>
              <w:r>
                <w:rPr>
                  <w:rFonts w:hint="eastAsia" w:asciiTheme="minorEastAsia" w:hAnsiTheme="minorEastAsia" w:eastAsiaTheme="minorEastAsia" w:cstheme="minorEastAsia"/>
                  <w:sz w:val="24"/>
                  <w:szCs w:val="24"/>
                  <w:highlight w:val="none"/>
                </w:rPr>
                <w:t>第四章 询比内容及要求</w:t>
              </w:r>
            </w:sdtContent>
          </w:sdt>
          <w:r>
            <w:rPr>
              <w:rFonts w:hint="eastAsia" w:asciiTheme="minorEastAsia" w:hAnsiTheme="minorEastAsia" w:cstheme="minorEastAsia"/>
              <w:sz w:val="24"/>
              <w:szCs w:val="24"/>
              <w:highlight w:val="none"/>
            </w:rPr>
            <w:tab/>
          </w:r>
          <w:bookmarkStart w:id="4" w:name="_Toc990955260_WPSOffice_Level1Page"/>
          <w:r>
            <w:rPr>
              <w:rFonts w:hint="eastAsia" w:asciiTheme="minorEastAsia" w:hAnsiTheme="minorEastAsia" w:cstheme="minorEastAsia"/>
              <w:sz w:val="24"/>
              <w:szCs w:val="24"/>
              <w:highlight w:val="none"/>
            </w:rPr>
            <w:t>19</w:t>
          </w:r>
          <w:bookmarkEnd w:id="4"/>
          <w:r>
            <w:rPr>
              <w:rFonts w:hint="eastAsia" w:asciiTheme="minorEastAsia" w:hAnsiTheme="minorEastAsia" w:cstheme="minorEastAsia"/>
              <w:sz w:val="24"/>
              <w:szCs w:val="24"/>
              <w:highlight w:val="none"/>
            </w:rPr>
            <w:fldChar w:fldCharType="end"/>
          </w:r>
        </w:p>
        <w:p w14:paraId="08EAAA7B">
          <w:pPr>
            <w:pStyle w:val="13"/>
            <w:tabs>
              <w:tab w:val="right" w:leader="dot" w:pos="8306"/>
            </w:tabs>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fldChar w:fldCharType="begin"/>
          </w:r>
          <w:r>
            <w:rPr>
              <w:rFonts w:hint="eastAsia" w:asciiTheme="minorEastAsia" w:hAnsiTheme="minorEastAsia" w:cstheme="minorEastAsia"/>
              <w:sz w:val="24"/>
              <w:szCs w:val="24"/>
              <w:highlight w:val="none"/>
            </w:rPr>
            <w:instrText xml:space="preserve"> HYPERLINK \l _Toc1934432868_WPSOffice_Level1 </w:instrText>
          </w:r>
          <w:r>
            <w:rPr>
              <w:rFonts w:hint="eastAsia" w:asciiTheme="minorEastAsia" w:hAnsiTheme="minorEastAsia" w:cstheme="minorEastAsia"/>
              <w:sz w:val="24"/>
              <w:szCs w:val="24"/>
              <w:highlight w:val="none"/>
            </w:rPr>
            <w:fldChar w:fldCharType="separate"/>
          </w:r>
          <w:sdt>
            <w:sdtPr>
              <w:rPr>
                <w:rFonts w:hint="eastAsia" w:asciiTheme="minorEastAsia" w:hAnsiTheme="minorEastAsia" w:eastAsiaTheme="minorEastAsia" w:cstheme="minorEastAsia"/>
                <w:kern w:val="2"/>
                <w:sz w:val="24"/>
                <w:szCs w:val="24"/>
                <w:highlight w:val="none"/>
                <w:lang w:val="en-US" w:eastAsia="zh-CN" w:bidi="ar-SA"/>
              </w:rPr>
              <w:id w:val="147455823"/>
              <w:placeholder>
                <w:docPart w:val="{1ae3c517-368a-4db9-b1b1-434b463d7fbd}"/>
              </w:placeholder>
            </w:sdtPr>
            <w:sdtEndPr>
              <w:rPr>
                <w:rFonts w:hint="eastAsia" w:asciiTheme="minorEastAsia" w:hAnsiTheme="minorEastAsia" w:eastAsiaTheme="minorEastAsia" w:cstheme="minorEastAsia"/>
                <w:kern w:val="2"/>
                <w:sz w:val="24"/>
                <w:szCs w:val="24"/>
                <w:highlight w:val="none"/>
                <w:lang w:val="en-US" w:eastAsia="zh-CN" w:bidi="ar-SA"/>
              </w:rPr>
            </w:sdtEndPr>
            <w:sdtContent>
              <w:r>
                <w:rPr>
                  <w:rFonts w:hint="eastAsia" w:asciiTheme="minorEastAsia" w:hAnsiTheme="minorEastAsia" w:eastAsiaTheme="minorEastAsia" w:cstheme="minorEastAsia"/>
                  <w:sz w:val="24"/>
                  <w:szCs w:val="24"/>
                  <w:highlight w:val="none"/>
                </w:rPr>
                <w:t>第五章 国有企业采购合同</w:t>
              </w:r>
            </w:sdtContent>
          </w:sdt>
          <w:r>
            <w:rPr>
              <w:rFonts w:hint="eastAsia" w:asciiTheme="minorEastAsia" w:hAnsiTheme="minorEastAsia" w:cstheme="minorEastAsia"/>
              <w:sz w:val="24"/>
              <w:szCs w:val="24"/>
              <w:highlight w:val="none"/>
            </w:rPr>
            <w:tab/>
          </w:r>
          <w:bookmarkStart w:id="5" w:name="_Toc1934432868_WPSOffice_Level1Page"/>
          <w:r>
            <w:rPr>
              <w:rFonts w:hint="eastAsia" w:asciiTheme="minorEastAsia" w:hAnsiTheme="minorEastAsia" w:cstheme="minorEastAsia"/>
              <w:sz w:val="24"/>
              <w:szCs w:val="24"/>
              <w:highlight w:val="none"/>
            </w:rPr>
            <w:t>20</w:t>
          </w:r>
          <w:bookmarkEnd w:id="5"/>
          <w:r>
            <w:rPr>
              <w:rFonts w:hint="eastAsia" w:asciiTheme="minorEastAsia" w:hAnsiTheme="minorEastAsia" w:cstheme="minorEastAsia"/>
              <w:sz w:val="24"/>
              <w:szCs w:val="24"/>
              <w:highlight w:val="none"/>
            </w:rPr>
            <w:fldChar w:fldCharType="end"/>
          </w:r>
        </w:p>
        <w:p w14:paraId="1CF4532E">
          <w:pPr>
            <w:pStyle w:val="13"/>
            <w:tabs>
              <w:tab w:val="right" w:leader="dot" w:pos="8306"/>
            </w:tabs>
            <w:spacing w:line="360" w:lineRule="auto"/>
            <w:rPr>
              <w:highlight w:val="none"/>
            </w:rPr>
          </w:pPr>
          <w:r>
            <w:rPr>
              <w:rFonts w:hint="eastAsia" w:asciiTheme="minorEastAsia" w:hAnsiTheme="minorEastAsia" w:cstheme="minorEastAsia"/>
              <w:sz w:val="24"/>
              <w:szCs w:val="24"/>
              <w:highlight w:val="none"/>
            </w:rPr>
            <w:fldChar w:fldCharType="begin"/>
          </w:r>
          <w:r>
            <w:rPr>
              <w:rFonts w:hint="eastAsia" w:asciiTheme="minorEastAsia" w:hAnsiTheme="minorEastAsia" w:cstheme="minorEastAsia"/>
              <w:sz w:val="24"/>
              <w:szCs w:val="24"/>
              <w:highlight w:val="none"/>
            </w:rPr>
            <w:instrText xml:space="preserve"> HYPERLINK \l _Toc1110727163_WPSOffice_Level1 </w:instrText>
          </w:r>
          <w:r>
            <w:rPr>
              <w:rFonts w:hint="eastAsia" w:asciiTheme="minorEastAsia" w:hAnsiTheme="minorEastAsia" w:cstheme="minorEastAsia"/>
              <w:sz w:val="24"/>
              <w:szCs w:val="24"/>
              <w:highlight w:val="none"/>
            </w:rPr>
            <w:fldChar w:fldCharType="separate"/>
          </w:r>
          <w:sdt>
            <w:sdtPr>
              <w:rPr>
                <w:rFonts w:hint="eastAsia" w:asciiTheme="minorEastAsia" w:hAnsiTheme="minorEastAsia" w:eastAsiaTheme="minorEastAsia" w:cstheme="minorEastAsia"/>
                <w:kern w:val="2"/>
                <w:sz w:val="24"/>
                <w:szCs w:val="24"/>
                <w:highlight w:val="none"/>
                <w:lang w:val="en-US" w:eastAsia="zh-CN" w:bidi="ar-SA"/>
              </w:rPr>
              <w:id w:val="147464284"/>
              <w:placeholder>
                <w:docPart w:val="{009344a5-ae7a-465b-9f47-86eb0826bce8}"/>
              </w:placeholder>
            </w:sdtPr>
            <w:sdtEndPr>
              <w:rPr>
                <w:rFonts w:hint="eastAsia" w:asciiTheme="minorEastAsia" w:hAnsiTheme="minorEastAsia" w:eastAsiaTheme="minorEastAsia" w:cstheme="minorEastAsia"/>
                <w:kern w:val="2"/>
                <w:sz w:val="24"/>
                <w:szCs w:val="24"/>
                <w:highlight w:val="none"/>
                <w:lang w:val="en-US" w:eastAsia="zh-CN" w:bidi="ar-SA"/>
              </w:rPr>
            </w:sdtEndPr>
            <w:sdtContent>
              <w:r>
                <w:rPr>
                  <w:rFonts w:hint="eastAsia" w:asciiTheme="minorEastAsia" w:hAnsiTheme="minorEastAsia" w:eastAsiaTheme="minorEastAsia" w:cstheme="minorEastAsia"/>
                  <w:sz w:val="24"/>
                  <w:szCs w:val="24"/>
                  <w:highlight w:val="none"/>
                </w:rPr>
                <w:t>第六章 响应文件格式</w:t>
              </w:r>
            </w:sdtContent>
          </w:sdt>
          <w:r>
            <w:rPr>
              <w:rFonts w:hint="eastAsia" w:asciiTheme="minorEastAsia" w:hAnsiTheme="minorEastAsia" w:cstheme="minorEastAsia"/>
              <w:sz w:val="24"/>
              <w:szCs w:val="24"/>
              <w:highlight w:val="none"/>
            </w:rPr>
            <w:tab/>
          </w:r>
          <w:bookmarkStart w:id="6" w:name="_Toc1110727163_WPSOffice_Level1Page"/>
          <w:r>
            <w:rPr>
              <w:rFonts w:hint="eastAsia" w:asciiTheme="minorEastAsia" w:hAnsiTheme="minorEastAsia" w:cstheme="minorEastAsia"/>
              <w:sz w:val="24"/>
              <w:szCs w:val="24"/>
              <w:highlight w:val="none"/>
            </w:rPr>
            <w:t>25</w:t>
          </w:r>
          <w:bookmarkEnd w:id="6"/>
          <w:r>
            <w:rPr>
              <w:rFonts w:hint="eastAsia" w:asciiTheme="minorEastAsia" w:hAnsiTheme="minorEastAsia" w:cstheme="minorEastAsia"/>
              <w:sz w:val="24"/>
              <w:szCs w:val="24"/>
              <w:highlight w:val="none"/>
            </w:rPr>
            <w:fldChar w:fldCharType="end"/>
          </w:r>
          <w:bookmarkEnd w:id="0"/>
        </w:p>
      </w:sdtContent>
    </w:sdt>
    <w:p w14:paraId="6D2F150E">
      <w:pPr>
        <w:numPr>
          <w:ilvl w:val="-1"/>
          <w:numId w:val="0"/>
        </w:numPr>
        <w:tabs>
          <w:tab w:val="left" w:pos="900"/>
        </w:tabs>
        <w:spacing w:line="480" w:lineRule="exact"/>
        <w:ind w:left="482" w:firstLine="0"/>
        <w:rPr>
          <w:rFonts w:hint="eastAsia" w:ascii="宋体" w:hAnsi="宋体" w:cs="宋体"/>
          <w:sz w:val="24"/>
          <w:szCs w:val="24"/>
          <w:highlight w:val="none"/>
        </w:rPr>
      </w:pPr>
    </w:p>
    <w:p w14:paraId="04255298">
      <w:pPr>
        <w:pStyle w:val="11"/>
        <w:jc w:val="center"/>
        <w:outlineLvl w:val="9"/>
        <w:rPr>
          <w:rFonts w:ascii="仿宋_GB2312" w:hAnsi="仿宋_GB2312" w:eastAsia="仿宋_GB2312" w:cs="仿宋_GB2312"/>
          <w:b/>
          <w:sz w:val="28"/>
          <w:highlight w:val="none"/>
        </w:rPr>
      </w:pPr>
    </w:p>
    <w:p w14:paraId="4D5404B1">
      <w:pPr>
        <w:pStyle w:val="11"/>
        <w:jc w:val="center"/>
        <w:outlineLvl w:val="1"/>
        <w:rPr>
          <w:rFonts w:ascii="仿宋_GB2312" w:hAnsi="仿宋_GB2312" w:eastAsia="仿宋_GB2312" w:cs="仿宋_GB2312"/>
          <w:b/>
          <w:sz w:val="36"/>
          <w:highlight w:val="none"/>
        </w:rPr>
        <w:sectPr>
          <w:footerReference r:id="rId4" w:type="default"/>
          <w:pgSz w:w="11906" w:h="16838"/>
          <w:pgMar w:top="1440" w:right="1800" w:bottom="1440" w:left="1800" w:header="851" w:footer="992" w:gutter="0"/>
          <w:pgNumType w:start="1"/>
          <w:cols w:space="425" w:num="1"/>
          <w:docGrid w:type="lines" w:linePitch="312" w:charSpace="0"/>
        </w:sectPr>
      </w:pPr>
      <w:r>
        <w:rPr>
          <w:rFonts w:ascii="仿宋_GB2312" w:hAnsi="仿宋_GB2312" w:eastAsia="仿宋_GB2312" w:cs="仿宋_GB2312"/>
          <w:highlight w:val="none"/>
        </w:rPr>
        <w:br w:type="textWrapping"/>
      </w:r>
    </w:p>
    <w:p w14:paraId="5DC82F5C">
      <w:pPr>
        <w:pStyle w:val="11"/>
        <w:jc w:val="center"/>
        <w:outlineLvl w:val="1"/>
        <w:rPr>
          <w:highlight w:val="none"/>
        </w:rPr>
      </w:pPr>
      <w:bookmarkStart w:id="7" w:name="_Toc187452590_WPSOffice_Level1"/>
      <w:r>
        <w:rPr>
          <w:rFonts w:ascii="仿宋_GB2312" w:hAnsi="仿宋_GB2312" w:eastAsia="仿宋_GB2312" w:cs="仿宋_GB2312"/>
          <w:b/>
          <w:sz w:val="36"/>
          <w:highlight w:val="none"/>
        </w:rPr>
        <w:t xml:space="preserve">第一章 </w:t>
      </w:r>
      <w:r>
        <w:rPr>
          <w:rFonts w:hint="eastAsia" w:ascii="仿宋_GB2312" w:hAnsi="仿宋_GB2312" w:eastAsia="仿宋_GB2312" w:cs="仿宋_GB2312"/>
          <w:b/>
          <w:sz w:val="36"/>
          <w:highlight w:val="none"/>
          <w:lang w:eastAsia="zh-CN"/>
        </w:rPr>
        <w:t>采购公告</w:t>
      </w:r>
      <w:r>
        <w:rPr>
          <w:rFonts w:ascii="仿宋_GB2312" w:hAnsi="仿宋_GB2312" w:eastAsia="仿宋_GB2312" w:cs="仿宋_GB2312"/>
          <w:b/>
          <w:sz w:val="36"/>
          <w:highlight w:val="none"/>
        </w:rPr>
        <w:t>/</w:t>
      </w:r>
      <w:r>
        <w:rPr>
          <w:rFonts w:hint="eastAsia" w:ascii="仿宋_GB2312" w:hAnsi="仿宋_GB2312" w:eastAsia="仿宋_GB2312" w:cs="仿宋_GB2312"/>
          <w:b/>
          <w:sz w:val="36"/>
          <w:highlight w:val="none"/>
          <w:lang w:eastAsia="zh-CN"/>
        </w:rPr>
        <w:t>采购</w:t>
      </w:r>
      <w:r>
        <w:rPr>
          <w:rFonts w:ascii="仿宋_GB2312" w:hAnsi="仿宋_GB2312" w:eastAsia="仿宋_GB2312" w:cs="仿宋_GB2312"/>
          <w:b/>
          <w:sz w:val="36"/>
          <w:highlight w:val="none"/>
        </w:rPr>
        <w:t>邀请书</w:t>
      </w:r>
      <w:bookmarkEnd w:id="7"/>
    </w:p>
    <w:p w14:paraId="4819F911">
      <w:pPr>
        <w:pStyle w:val="11"/>
        <w:jc w:val="center"/>
        <w:rPr>
          <w:highlight w:val="none"/>
        </w:rPr>
      </w:pPr>
      <w:r>
        <w:rPr>
          <w:rFonts w:ascii="仿宋_GB2312" w:hAnsi="仿宋_GB2312" w:eastAsia="仿宋_GB2312" w:cs="仿宋_GB2312"/>
          <w:highlight w:val="none"/>
        </w:rPr>
        <w:t>询</w:t>
      </w:r>
      <w:r>
        <w:rPr>
          <w:rFonts w:hint="eastAsia" w:ascii="仿宋_GB2312" w:hAnsi="仿宋_GB2312" w:eastAsia="仿宋_GB2312" w:cs="仿宋_GB2312"/>
          <w:highlight w:val="none"/>
          <w:lang w:eastAsia="zh-CN"/>
        </w:rPr>
        <w:t>比采购公告</w:t>
      </w:r>
      <w:r>
        <w:rPr>
          <w:rFonts w:hint="eastAsia" w:ascii="仿宋_GB2312" w:hAnsi="仿宋_GB2312" w:eastAsia="仿宋_GB2312" w:cs="仿宋_GB2312"/>
          <w:highlight w:val="none"/>
          <w:lang w:val="en-US" w:eastAsia="zh-CN"/>
        </w:rPr>
        <w:t>/采购邀请书</w:t>
      </w:r>
    </w:p>
    <w:p w14:paraId="511632DF">
      <w:pPr>
        <w:pStyle w:val="11"/>
        <w:ind w:firstLine="480"/>
        <w:jc w:val="both"/>
        <w:rPr>
          <w:highlight w:val="none"/>
        </w:rPr>
      </w:pPr>
      <w:r>
        <w:rPr>
          <w:rFonts w:hint="eastAsia" w:ascii="仿宋_GB2312" w:hAnsi="仿宋_GB2312" w:eastAsia="仿宋_GB2312" w:cs="仿宋_GB2312"/>
          <w:highlight w:val="none"/>
          <w:lang w:eastAsia="zh-CN"/>
        </w:rPr>
        <w:t>福州市自来水有限公司</w:t>
      </w:r>
      <w:r>
        <w:rPr>
          <w:rFonts w:ascii="仿宋_GB2312" w:hAnsi="仿宋_GB2312" w:eastAsia="仿宋_GB2312" w:cs="仿宋_GB2312"/>
          <w:highlight w:val="none"/>
        </w:rPr>
        <w:t>经相应程序确定采用</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采购方式组织</w:t>
      </w:r>
      <w:r>
        <w:rPr>
          <w:rFonts w:hint="eastAsia" w:ascii="仿宋_GB2312" w:hAnsi="仿宋_GB2312" w:eastAsia="仿宋_GB2312" w:cs="仿宋_GB2312"/>
          <w:highlight w:val="none"/>
          <w:lang w:eastAsia="zh-CN"/>
        </w:rPr>
        <w:t>榕水大厦（福州市鼓楼区东街104号）</w:t>
      </w:r>
      <w:r>
        <w:rPr>
          <w:rFonts w:ascii="仿宋_GB2312" w:hAnsi="仿宋_GB2312" w:eastAsia="仿宋_GB2312" w:cs="仿宋_GB2312"/>
          <w:highlight w:val="none"/>
        </w:rPr>
        <w:t xml:space="preserve">老旧线路安全隐患年度排查检测项目（以下简称：“本项目”）的采购活动， 现欢迎国内合格的供应商前来参加。 </w:t>
      </w:r>
    </w:p>
    <w:p w14:paraId="101BA45E">
      <w:pPr>
        <w:pStyle w:val="11"/>
        <w:ind w:firstLine="480"/>
        <w:jc w:val="left"/>
        <w:outlineLvl w:val="2"/>
        <w:rPr>
          <w:rFonts w:hint="default"/>
          <w:highlight w:val="none"/>
          <w:u w:val="single"/>
          <w:lang w:val="en-US"/>
        </w:rPr>
      </w:pPr>
      <w:r>
        <w:rPr>
          <w:rFonts w:ascii="仿宋_GB2312" w:hAnsi="仿宋_GB2312" w:eastAsia="仿宋_GB2312" w:cs="仿宋_GB2312"/>
          <w:b/>
          <w:sz w:val="28"/>
          <w:highlight w:val="none"/>
        </w:rPr>
        <w:t>1、备案编号：</w:t>
      </w:r>
      <w:r>
        <w:rPr>
          <w:rFonts w:ascii="仿宋_GB2312" w:hAnsi="仿宋_GB2312" w:eastAsia="仿宋_GB2312" w:cs="仿宋_GB2312"/>
          <w:b/>
          <w:sz w:val="28"/>
          <w:highlight w:val="none"/>
          <w:u w:val="single"/>
        </w:rPr>
        <w:t xml:space="preserve"> </w:t>
      </w:r>
      <w:r>
        <w:rPr>
          <w:rFonts w:hint="default" w:ascii="仿宋_GB2312" w:hAnsi="仿宋_GB2312" w:eastAsia="仿宋_GB2312" w:cs="仿宋_GB2312"/>
          <w:b/>
          <w:sz w:val="28"/>
          <w:highlight w:val="none"/>
          <w:u w:val="single"/>
          <w:lang w:val="en-US"/>
        </w:rPr>
        <w:t xml:space="preserve">    </w:t>
      </w:r>
      <w:r>
        <w:rPr>
          <w:rFonts w:hint="eastAsia" w:ascii="仿宋_GB2312" w:hAnsi="仿宋_GB2312" w:eastAsia="仿宋_GB2312" w:cs="仿宋_GB2312"/>
          <w:b/>
          <w:sz w:val="28"/>
          <w:highlight w:val="none"/>
          <w:u w:val="single"/>
          <w:lang w:val="en-US" w:eastAsia="zh-CN"/>
        </w:rPr>
        <w:t>/</w:t>
      </w:r>
      <w:r>
        <w:rPr>
          <w:rFonts w:hint="default" w:ascii="仿宋_GB2312" w:hAnsi="仿宋_GB2312" w:eastAsia="仿宋_GB2312" w:cs="仿宋_GB2312"/>
          <w:b/>
          <w:sz w:val="28"/>
          <w:highlight w:val="none"/>
          <w:u w:val="single"/>
          <w:lang w:val="en-US"/>
        </w:rPr>
        <w:t xml:space="preserve">   </w:t>
      </w:r>
    </w:p>
    <w:p w14:paraId="73D28D4E">
      <w:pPr>
        <w:pStyle w:val="11"/>
        <w:ind w:firstLine="480"/>
        <w:jc w:val="left"/>
        <w:outlineLvl w:val="2"/>
        <w:rPr>
          <w:rFonts w:hint="default"/>
          <w:highlight w:val="none"/>
          <w:lang w:val="en-US"/>
        </w:rPr>
      </w:pPr>
      <w:r>
        <w:rPr>
          <w:rFonts w:ascii="仿宋_GB2312" w:hAnsi="仿宋_GB2312" w:eastAsia="仿宋_GB2312" w:cs="仿宋_GB2312"/>
          <w:b/>
          <w:sz w:val="28"/>
          <w:highlight w:val="none"/>
        </w:rPr>
        <w:t>2、项目编号：</w:t>
      </w:r>
      <w:r>
        <w:rPr>
          <w:rFonts w:hint="eastAsia" w:ascii="宋体" w:hAnsi="宋体" w:eastAsia="宋体" w:cs="宋体"/>
          <w:sz w:val="24"/>
          <w:szCs w:val="24"/>
        </w:rPr>
        <w:t>FSX</w:t>
      </w:r>
      <w:r>
        <w:rPr>
          <w:rFonts w:hint="eastAsia" w:ascii="宋体" w:hAnsi="宋体" w:eastAsia="宋体" w:cs="宋体"/>
          <w:sz w:val="24"/>
          <w:szCs w:val="24"/>
          <w:lang w:val="en-US" w:eastAsia="zh-CN"/>
        </w:rPr>
        <w:t>2026004-Y</w:t>
      </w:r>
      <w:r>
        <w:rPr>
          <w:rFonts w:hint="default" w:ascii="仿宋_GB2312" w:hAnsi="仿宋_GB2312" w:eastAsia="仿宋_GB2312" w:cs="仿宋_GB2312"/>
          <w:b/>
          <w:color w:val="FF0000"/>
          <w:sz w:val="28"/>
          <w:highlight w:val="none"/>
          <w:lang w:val="en-US"/>
        </w:rPr>
        <w:t xml:space="preserve">  </w:t>
      </w:r>
      <w:r>
        <w:rPr>
          <w:rFonts w:hint="default" w:ascii="仿宋_GB2312" w:hAnsi="仿宋_GB2312" w:eastAsia="仿宋_GB2312" w:cs="仿宋_GB2312"/>
          <w:b/>
          <w:sz w:val="28"/>
          <w:highlight w:val="none"/>
          <w:lang w:val="en-US"/>
        </w:rPr>
        <w:t xml:space="preserve"> </w:t>
      </w:r>
    </w:p>
    <w:p w14:paraId="64C0DDB7">
      <w:pPr>
        <w:pStyle w:val="11"/>
        <w:ind w:firstLine="480"/>
        <w:jc w:val="left"/>
        <w:outlineLvl w:val="2"/>
        <w:rPr>
          <w:highlight w:val="none"/>
        </w:rPr>
      </w:pPr>
      <w:r>
        <w:rPr>
          <w:rFonts w:ascii="仿宋_GB2312" w:hAnsi="仿宋_GB2312" w:eastAsia="仿宋_GB2312" w:cs="仿宋_GB2312"/>
          <w:b/>
          <w:sz w:val="28"/>
          <w:highlight w:val="none"/>
        </w:rPr>
        <w:t>3、询</w:t>
      </w:r>
      <w:r>
        <w:rPr>
          <w:rFonts w:hint="eastAsia" w:ascii="仿宋_GB2312" w:hAnsi="仿宋_GB2312" w:eastAsia="仿宋_GB2312" w:cs="仿宋_GB2312"/>
          <w:b/>
          <w:sz w:val="28"/>
          <w:highlight w:val="none"/>
          <w:lang w:eastAsia="zh-CN"/>
        </w:rPr>
        <w:t>比</w:t>
      </w:r>
      <w:r>
        <w:rPr>
          <w:rFonts w:ascii="仿宋_GB2312" w:hAnsi="仿宋_GB2312" w:eastAsia="仿宋_GB2312" w:cs="仿宋_GB2312"/>
          <w:b/>
          <w:sz w:val="28"/>
          <w:highlight w:val="none"/>
        </w:rPr>
        <w:t>内容及要求：</w:t>
      </w:r>
    </w:p>
    <w:p w14:paraId="0747F5AE">
      <w:pPr>
        <w:pStyle w:val="11"/>
        <w:ind w:firstLine="480"/>
        <w:jc w:val="left"/>
        <w:rPr>
          <w:highlight w:val="none"/>
        </w:rPr>
      </w:pPr>
      <w:r>
        <w:rPr>
          <w:rFonts w:ascii="仿宋_GB2312" w:hAnsi="仿宋_GB2312" w:eastAsia="仿宋_GB2312" w:cs="仿宋_GB2312"/>
          <w:highlight w:val="none"/>
        </w:rPr>
        <w:t>详见附</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：《采购标的一览表及</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第四章》。</w:t>
      </w:r>
    </w:p>
    <w:p w14:paraId="1D7E1B32">
      <w:pPr>
        <w:pStyle w:val="11"/>
        <w:ind w:firstLine="480"/>
        <w:jc w:val="both"/>
        <w:outlineLvl w:val="2"/>
        <w:rPr>
          <w:highlight w:val="none"/>
        </w:rPr>
      </w:pPr>
      <w:r>
        <w:rPr>
          <w:rFonts w:hint="eastAsia" w:ascii="仿宋_GB2312" w:hAnsi="仿宋_GB2312" w:eastAsia="仿宋_GB2312" w:cs="仿宋_GB2312"/>
          <w:b/>
          <w:sz w:val="28"/>
          <w:highlight w:val="none"/>
          <w:lang w:val="en-US" w:eastAsia="zh-CN"/>
        </w:rPr>
        <w:t>4</w:t>
      </w:r>
      <w:r>
        <w:rPr>
          <w:rFonts w:ascii="仿宋_GB2312" w:hAnsi="仿宋_GB2312" w:eastAsia="仿宋_GB2312" w:cs="仿宋_GB2312"/>
          <w:b/>
          <w:sz w:val="28"/>
          <w:highlight w:val="none"/>
        </w:rPr>
        <w:t>、</w:t>
      </w:r>
      <w:r>
        <w:rPr>
          <w:rFonts w:hint="eastAsia" w:ascii="仿宋_GB2312" w:hAnsi="仿宋_GB2312" w:eastAsia="仿宋_GB2312" w:cs="仿宋_GB2312"/>
          <w:b/>
          <w:sz w:val="28"/>
          <w:highlight w:val="none"/>
          <w:lang w:eastAsia="zh-CN"/>
        </w:rPr>
        <w:t>供应商</w:t>
      </w:r>
      <w:r>
        <w:rPr>
          <w:rFonts w:ascii="仿宋_GB2312" w:hAnsi="仿宋_GB2312" w:eastAsia="仿宋_GB2312" w:cs="仿宋_GB2312"/>
          <w:b/>
          <w:sz w:val="28"/>
          <w:highlight w:val="none"/>
        </w:rPr>
        <w:t>的资格要求</w:t>
      </w:r>
    </w:p>
    <w:p w14:paraId="11B9DBF0">
      <w:pPr>
        <w:pStyle w:val="11"/>
        <w:ind w:firstLine="960"/>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基本资格</w:t>
      </w:r>
      <w:r>
        <w:rPr>
          <w:rFonts w:hint="eastAsia" w:ascii="仿宋_GB2312" w:hAnsi="仿宋_GB2312" w:eastAsia="仿宋_GB2312" w:cs="仿宋_GB2312"/>
          <w:highlight w:val="none"/>
        </w:rPr>
        <w:t>条件</w:t>
      </w:r>
      <w:r>
        <w:rPr>
          <w:rFonts w:ascii="仿宋_GB2312" w:hAnsi="仿宋_GB2312" w:eastAsia="仿宋_GB2312" w:cs="仿宋_GB2312"/>
          <w:highlight w:val="none"/>
        </w:rPr>
        <w:t>：</w:t>
      </w:r>
    </w:p>
    <w:p w14:paraId="5BCC9192">
      <w:pPr>
        <w:pStyle w:val="11"/>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①</w:t>
      </w:r>
      <w:r>
        <w:rPr>
          <w:rFonts w:hint="eastAsia" w:ascii="仿宋_GB2312" w:hAnsi="仿宋_GB2312" w:eastAsia="仿宋_GB2312" w:cs="仿宋_GB2312"/>
          <w:highlight w:val="none"/>
        </w:rPr>
        <w:t>具有独立承担民事责任的能力；</w:t>
      </w:r>
    </w:p>
    <w:p w14:paraId="150BA586">
      <w:pPr>
        <w:pStyle w:val="11"/>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②</w:t>
      </w:r>
      <w:r>
        <w:rPr>
          <w:rFonts w:hint="eastAsia" w:ascii="仿宋_GB2312" w:hAnsi="仿宋_GB2312" w:eastAsia="仿宋_GB2312" w:cs="仿宋_GB2312"/>
          <w:highlight w:val="none"/>
        </w:rPr>
        <w:t>具有良好的商业信誉和健全的财务会计制度；</w:t>
      </w:r>
    </w:p>
    <w:p w14:paraId="5A7861BF">
      <w:pPr>
        <w:pStyle w:val="11"/>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③</w:t>
      </w:r>
      <w:r>
        <w:rPr>
          <w:rFonts w:hint="eastAsia" w:ascii="仿宋_GB2312" w:hAnsi="仿宋_GB2312" w:eastAsia="仿宋_GB2312" w:cs="仿宋_GB2312"/>
          <w:highlight w:val="none"/>
        </w:rPr>
        <w:t>具有履行合同所必需的设备和专业技术能力；</w:t>
      </w:r>
    </w:p>
    <w:p w14:paraId="498A9C03">
      <w:pPr>
        <w:pStyle w:val="11"/>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④</w:t>
      </w:r>
      <w:r>
        <w:rPr>
          <w:rFonts w:hint="eastAsia" w:ascii="仿宋_GB2312" w:hAnsi="仿宋_GB2312" w:eastAsia="仿宋_GB2312" w:cs="仿宋_GB2312"/>
          <w:highlight w:val="none"/>
        </w:rPr>
        <w:t>有依法缴纳税收和社会保障资金的良好记录；</w:t>
      </w:r>
    </w:p>
    <w:p w14:paraId="4835F511">
      <w:pPr>
        <w:pStyle w:val="11"/>
        <w:ind w:firstLine="96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⑤</w:t>
      </w:r>
      <w:r>
        <w:rPr>
          <w:rFonts w:hint="eastAsia" w:ascii="仿宋_GB2312" w:hAnsi="仿宋_GB2312" w:eastAsia="仿宋_GB2312" w:cs="仿宋_GB2312"/>
          <w:highlight w:val="none"/>
        </w:rPr>
        <w:t>参加采购活动前三年内，在经营活动中没有重大违法记录；</w:t>
      </w:r>
    </w:p>
    <w:p w14:paraId="58C92786">
      <w:pPr>
        <w:pStyle w:val="11"/>
        <w:ind w:firstLine="960"/>
        <w:jc w:val="left"/>
        <w:rPr>
          <w:highlight w:val="none"/>
        </w:rPr>
      </w:pPr>
      <w:r>
        <w:rPr>
          <w:rFonts w:hint="eastAsia" w:ascii="仿宋_GB2312" w:hAnsi="仿宋_GB2312" w:eastAsia="仿宋_GB2312" w:cs="仿宋_GB2312"/>
          <w:highlight w:val="none"/>
          <w:lang w:val="en-US" w:eastAsia="zh-CN"/>
        </w:rPr>
        <w:t>⑥</w:t>
      </w:r>
      <w:r>
        <w:rPr>
          <w:rFonts w:hint="eastAsia" w:ascii="仿宋_GB2312" w:hAnsi="仿宋_GB2312" w:eastAsia="仿宋_GB2312" w:cs="仿宋_GB2312"/>
          <w:highlight w:val="none"/>
        </w:rPr>
        <w:t>法律、行政法规规定的其他条件。</w:t>
      </w:r>
    </w:p>
    <w:p w14:paraId="614DEA46">
      <w:pPr>
        <w:pStyle w:val="11"/>
        <w:ind w:firstLine="960"/>
        <w:jc w:val="left"/>
        <w:rPr>
          <w:rFonts w:hint="eastAsia" w:eastAsia="仿宋_GB2312"/>
          <w:highlight w:val="none"/>
          <w:u w:val="single"/>
          <w:lang w:val="en-US" w:eastAsia="zh-CN"/>
        </w:rPr>
      </w:pP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.2</w:t>
      </w:r>
      <w:r>
        <w:rPr>
          <w:rFonts w:hint="eastAsia" w:ascii="仿宋_GB2312" w:hAnsi="仿宋_GB2312" w:eastAsia="仿宋_GB2312" w:cs="仿宋_GB2312"/>
          <w:highlight w:val="none"/>
        </w:rPr>
        <w:t>特定</w:t>
      </w:r>
      <w:r>
        <w:rPr>
          <w:rFonts w:hint="eastAsia" w:ascii="仿宋_GB2312" w:hAnsi="仿宋_GB2312" w:eastAsia="仿宋_GB2312" w:cs="仿宋_GB2312"/>
          <w:highlight w:val="none"/>
          <w:lang w:val="en-US" w:eastAsia="zh-CN"/>
        </w:rPr>
        <w:t>资格</w:t>
      </w:r>
      <w:r>
        <w:rPr>
          <w:rFonts w:hint="eastAsia" w:ascii="仿宋_GB2312" w:hAnsi="仿宋_GB2312" w:eastAsia="仿宋_GB2312" w:cs="仿宋_GB2312"/>
          <w:highlight w:val="none"/>
        </w:rPr>
        <w:t>条件</w:t>
      </w:r>
      <w:r>
        <w:rPr>
          <w:rFonts w:ascii="仿宋_GB2312" w:hAnsi="仿宋_GB2312" w:eastAsia="仿宋_GB2312" w:cs="仿宋_GB2312"/>
          <w:highlight w:val="none"/>
        </w:rPr>
        <w:t>：</w:t>
      </w:r>
      <w:r>
        <w:rPr>
          <w:rFonts w:hint="eastAsia" w:eastAsia="仿宋_GB2312"/>
          <w:highlight w:val="none"/>
          <w:u w:val="single"/>
          <w:lang w:eastAsia="zh-CN"/>
        </w:rPr>
        <w:t xml:space="preserve"> </w:t>
      </w:r>
      <w:r>
        <w:rPr>
          <w:rFonts w:hint="eastAsia" w:eastAsia="仿宋_GB2312"/>
          <w:highlight w:val="none"/>
          <w:u w:val="single"/>
          <w:lang w:val="en-US" w:eastAsia="zh-CN"/>
        </w:rPr>
        <w:t>检测单位需具备电力承装修试（四级）许可证，检测人员需具备高压电工证及</w:t>
      </w:r>
      <w:r>
        <w:rPr>
          <w:rFonts w:hint="eastAsia" w:eastAsia="仿宋_GB2312"/>
          <w:highlight w:val="none"/>
          <w:u w:val="single"/>
          <w:lang w:val="en-US" w:eastAsia="zh"/>
        </w:rPr>
        <w:t>低压电工证</w:t>
      </w:r>
      <w:r>
        <w:rPr>
          <w:rFonts w:hint="eastAsia" w:eastAsia="仿宋_GB2312"/>
          <w:highlight w:val="none"/>
          <w:u w:val="single"/>
          <w:lang w:val="en-US" w:eastAsia="zh-CN"/>
        </w:rPr>
        <w:t>。</w:t>
      </w:r>
    </w:p>
    <w:p w14:paraId="2724F589">
      <w:pPr>
        <w:pStyle w:val="11"/>
        <w:ind w:firstLine="960"/>
        <w:jc w:val="both"/>
        <w:rPr>
          <w:rFonts w:hint="eastAsia" w:eastAsia="仿宋_GB2312"/>
          <w:highlight w:val="none"/>
          <w:u w:val="single"/>
          <w:lang w:val="en-US" w:eastAsia="zh-CN"/>
        </w:rPr>
      </w:pP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.3是否接受联合体</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w:t>
      </w:r>
      <w:r>
        <w:rPr>
          <w:rFonts w:hint="eastAsia" w:eastAsia="仿宋_GB2312"/>
          <w:highlight w:val="none"/>
          <w:u w:val="single"/>
          <w:lang w:eastAsia="zh-CN"/>
        </w:rPr>
        <w:t xml:space="preserve"> </w:t>
      </w:r>
      <w:r>
        <w:rPr>
          <w:rFonts w:hint="eastAsia" w:eastAsia="仿宋_GB2312"/>
          <w:highlight w:val="none"/>
          <w:u w:val="single"/>
          <w:lang w:val="en-US" w:eastAsia="zh-CN"/>
        </w:rPr>
        <w:t xml:space="preserve">  是   </w:t>
      </w:r>
    </w:p>
    <w:p w14:paraId="399739A1">
      <w:pPr>
        <w:pStyle w:val="11"/>
        <w:ind w:firstLine="402" w:firstLineChars="200"/>
        <w:jc w:val="left"/>
        <w:rPr>
          <w:highlight w:val="none"/>
        </w:rPr>
      </w:pPr>
      <w:bookmarkStart w:id="8" w:name="OLE_LINK1"/>
      <w:r>
        <w:rPr>
          <w:rFonts w:ascii="仿宋_GB2312" w:hAnsi="仿宋_GB2312" w:eastAsia="仿宋_GB2312" w:cs="仿宋_GB2312"/>
          <w:b/>
          <w:highlight w:val="none"/>
        </w:rPr>
        <w:t>※根据上述资格要求，供应商响应文件中应提交的“资格证明文件”相关规定和资料要求，详见</w:t>
      </w:r>
      <w:r>
        <w:rPr>
          <w:rFonts w:hint="eastAsia" w:ascii="仿宋_GB2312" w:hAnsi="仿宋_GB2312" w:eastAsia="仿宋_GB2312" w:cs="仿宋_GB2312"/>
          <w:b/>
          <w:highlight w:val="none"/>
          <w:lang w:val="en-US" w:eastAsia="zh-CN"/>
        </w:rPr>
        <w:t>询比</w:t>
      </w:r>
      <w:r>
        <w:rPr>
          <w:rFonts w:ascii="仿宋_GB2312" w:hAnsi="仿宋_GB2312" w:eastAsia="仿宋_GB2312" w:cs="仿宋_GB2312"/>
          <w:b/>
          <w:highlight w:val="none"/>
        </w:rPr>
        <w:t>须知前附表和</w:t>
      </w:r>
      <w:r>
        <w:rPr>
          <w:rFonts w:hint="eastAsia" w:ascii="仿宋_GB2312" w:hAnsi="仿宋_GB2312" w:eastAsia="仿宋_GB2312" w:cs="仿宋_GB2312"/>
          <w:b/>
          <w:highlight w:val="none"/>
          <w:lang w:val="en-US" w:eastAsia="zh-CN"/>
        </w:rPr>
        <w:t>询比</w:t>
      </w:r>
      <w:r>
        <w:rPr>
          <w:rFonts w:ascii="仿宋_GB2312" w:hAnsi="仿宋_GB2312" w:eastAsia="仿宋_GB2312" w:cs="仿宋_GB2312"/>
          <w:b/>
          <w:highlight w:val="none"/>
        </w:rPr>
        <w:t>文件第</w:t>
      </w:r>
      <w:r>
        <w:rPr>
          <w:rFonts w:hint="eastAsia" w:ascii="仿宋_GB2312" w:hAnsi="仿宋_GB2312" w:eastAsia="仿宋_GB2312" w:cs="仿宋_GB2312"/>
          <w:b/>
          <w:highlight w:val="none"/>
          <w:lang w:val="en-US" w:eastAsia="zh-CN"/>
        </w:rPr>
        <w:t>六</w:t>
      </w:r>
      <w:r>
        <w:rPr>
          <w:rFonts w:ascii="仿宋_GB2312" w:hAnsi="仿宋_GB2312" w:eastAsia="仿宋_GB2312" w:cs="仿宋_GB2312"/>
          <w:b/>
          <w:highlight w:val="none"/>
        </w:rPr>
        <w:t>章。</w:t>
      </w:r>
    </w:p>
    <w:bookmarkEnd w:id="8"/>
    <w:p w14:paraId="118C4E69">
      <w:pPr>
        <w:pStyle w:val="11"/>
        <w:ind w:firstLine="480"/>
        <w:jc w:val="both"/>
        <w:outlineLvl w:val="2"/>
        <w:rPr>
          <w:highlight w:val="none"/>
        </w:rPr>
      </w:pPr>
      <w:bookmarkStart w:id="9" w:name="OLE_LINK2"/>
      <w:r>
        <w:rPr>
          <w:rFonts w:hint="eastAsia" w:ascii="仿宋_GB2312" w:hAnsi="仿宋_GB2312" w:eastAsia="仿宋_GB2312" w:cs="仿宋_GB2312"/>
          <w:b/>
          <w:sz w:val="28"/>
          <w:highlight w:val="none"/>
          <w:lang w:val="en-US" w:eastAsia="zh-CN"/>
        </w:rPr>
        <w:t>5</w:t>
      </w:r>
      <w:r>
        <w:rPr>
          <w:rFonts w:ascii="仿宋_GB2312" w:hAnsi="仿宋_GB2312" w:eastAsia="仿宋_GB2312" w:cs="仿宋_GB2312"/>
          <w:b/>
          <w:sz w:val="28"/>
          <w:highlight w:val="none"/>
        </w:rPr>
        <w:t>、</w:t>
      </w:r>
      <w:r>
        <w:rPr>
          <w:rFonts w:hint="eastAsia" w:ascii="仿宋_GB2312" w:hAnsi="仿宋_GB2312" w:eastAsia="仿宋_GB2312" w:cs="仿宋_GB2312"/>
          <w:b/>
          <w:sz w:val="28"/>
          <w:highlight w:val="none"/>
          <w:lang w:val="en-US" w:eastAsia="zh-CN"/>
        </w:rPr>
        <w:t>询比</w:t>
      </w:r>
      <w:r>
        <w:rPr>
          <w:rFonts w:ascii="仿宋_GB2312" w:hAnsi="仿宋_GB2312" w:eastAsia="仿宋_GB2312" w:cs="仿宋_GB2312"/>
          <w:b/>
          <w:sz w:val="28"/>
          <w:highlight w:val="none"/>
        </w:rPr>
        <w:t>文件的获取</w:t>
      </w:r>
    </w:p>
    <w:p w14:paraId="515127FF">
      <w:pPr>
        <w:pStyle w:val="11"/>
        <w:ind w:firstLine="960"/>
        <w:jc w:val="both"/>
        <w:rPr>
          <w:highlight w:val="none"/>
        </w:rPr>
      </w:pPr>
      <w:r>
        <w:rPr>
          <w:rFonts w:hint="default" w:ascii="仿宋_GB2312" w:hAnsi="仿宋_GB2312" w:eastAsia="仿宋_GB2312" w:cs="仿宋_GB2312"/>
          <w:highlight w:val="none"/>
          <w:lang w:val="en-US" w:eastAsia="zh-CN"/>
        </w:rPr>
        <w:t>5</w:t>
      </w: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文件获取期限：详见</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公告或更正公告，若不一致，以更正公告为准。</w:t>
      </w:r>
    </w:p>
    <w:p w14:paraId="70225EC4">
      <w:pPr>
        <w:pStyle w:val="11"/>
        <w:ind w:firstLine="960"/>
        <w:jc w:val="both"/>
        <w:rPr>
          <w:highlight w:val="none"/>
        </w:rPr>
      </w:pPr>
      <w:r>
        <w:rPr>
          <w:rFonts w:hint="default" w:ascii="仿宋_GB2312" w:hAnsi="仿宋_GB2312" w:eastAsia="仿宋_GB2312" w:cs="仿宋_GB2312"/>
          <w:highlight w:val="none"/>
          <w:lang w:val="en-US" w:eastAsia="zh-CN"/>
        </w:rPr>
        <w:t>5</w:t>
      </w:r>
      <w:r>
        <w:rPr>
          <w:rFonts w:ascii="仿宋_GB2312" w:hAnsi="仿宋_GB2312" w:eastAsia="仿宋_GB2312" w:cs="仿宋_GB2312"/>
          <w:highlight w:val="none"/>
        </w:rPr>
        <w:t>.2、在</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文件获取期限内，供应商应通过</w:t>
      </w:r>
      <w:r>
        <w:rPr>
          <w:rFonts w:hint="eastAsia" w:ascii="仿宋_GB2312" w:hAnsi="仿宋_GB2312" w:eastAsia="仿宋_GB2312" w:cs="仿宋_GB2312"/>
          <w:highlight w:val="none"/>
          <w:lang w:eastAsia="zh-CN"/>
        </w:rPr>
        <w:t>福州市公共资源交易网</w:t>
      </w:r>
      <w:r>
        <w:rPr>
          <w:rFonts w:ascii="仿宋_GB2312" w:hAnsi="仿宋_GB2312" w:eastAsia="仿宋_GB2312" w:cs="仿宋_GB2312"/>
          <w:highlight w:val="none"/>
        </w:rPr>
        <w:t>的注册账号（免费注册）并获取</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文件(登录</w:t>
      </w:r>
      <w:r>
        <w:rPr>
          <w:rFonts w:hint="eastAsia" w:ascii="仿宋_GB2312" w:hAnsi="仿宋_GB2312" w:eastAsia="仿宋_GB2312" w:cs="仿宋_GB2312"/>
          <w:highlight w:val="none"/>
          <w:lang w:eastAsia="zh-CN"/>
        </w:rPr>
        <w:t>福州市公共资源交易网</w:t>
      </w:r>
      <w:r>
        <w:rPr>
          <w:rFonts w:ascii="仿宋_GB2312" w:hAnsi="仿宋_GB2312" w:eastAsia="仿宋_GB2312" w:cs="仿宋_GB2312"/>
          <w:highlight w:val="none"/>
        </w:rPr>
        <w:t>进行文件获取)，否则</w:t>
      </w:r>
      <w:r>
        <w:rPr>
          <w:rFonts w:hint="eastAsia" w:ascii="仿宋_GB2312" w:hAnsi="仿宋_GB2312" w:eastAsia="仿宋_GB2312" w:cs="仿宋_GB2312"/>
          <w:highlight w:val="none"/>
          <w:lang w:val="en-US" w:eastAsia="zh-CN"/>
        </w:rPr>
        <w:t>报价响应</w:t>
      </w:r>
      <w:r>
        <w:rPr>
          <w:rFonts w:ascii="仿宋_GB2312" w:hAnsi="仿宋_GB2312" w:eastAsia="仿宋_GB2312" w:cs="仿宋_GB2312"/>
          <w:highlight w:val="none"/>
        </w:rPr>
        <w:t>将被拒绝。</w:t>
      </w:r>
    </w:p>
    <w:p w14:paraId="5FF0126D">
      <w:pPr>
        <w:pStyle w:val="11"/>
        <w:ind w:firstLine="960"/>
        <w:jc w:val="both"/>
        <w:rPr>
          <w:highlight w:val="none"/>
        </w:rPr>
      </w:pPr>
      <w:r>
        <w:rPr>
          <w:rFonts w:hint="default" w:ascii="仿宋_GB2312" w:hAnsi="仿宋_GB2312" w:eastAsia="仿宋_GB2312" w:cs="仿宋_GB2312"/>
          <w:highlight w:val="none"/>
          <w:lang w:val="en-US" w:eastAsia="zh-CN"/>
        </w:rPr>
        <w:t>5</w:t>
      </w:r>
      <w:r>
        <w:rPr>
          <w:rFonts w:ascii="仿宋_GB2312" w:hAnsi="仿宋_GB2312" w:eastAsia="仿宋_GB2312" w:cs="仿宋_GB2312"/>
          <w:highlight w:val="none"/>
        </w:rPr>
        <w:t>.3、获取地点及方式：注册账号后，通过</w:t>
      </w:r>
      <w:r>
        <w:rPr>
          <w:rFonts w:hint="eastAsia" w:ascii="仿宋_GB2312" w:hAnsi="仿宋_GB2312" w:eastAsia="仿宋_GB2312" w:cs="仿宋_GB2312"/>
          <w:highlight w:val="none"/>
          <w:lang w:eastAsia="zh-CN"/>
        </w:rPr>
        <w:t>福州市公共资源交易网</w:t>
      </w:r>
      <w:r>
        <w:rPr>
          <w:rFonts w:ascii="仿宋_GB2312" w:hAnsi="仿宋_GB2312" w:eastAsia="仿宋_GB2312" w:cs="仿宋_GB2312"/>
          <w:highlight w:val="none"/>
        </w:rPr>
        <w:t>以下载方式获取。</w:t>
      </w:r>
    </w:p>
    <w:p w14:paraId="525DFE38">
      <w:pPr>
        <w:pStyle w:val="11"/>
        <w:ind w:firstLine="960"/>
        <w:jc w:val="both"/>
        <w:rPr>
          <w:highlight w:val="none"/>
        </w:rPr>
      </w:pPr>
      <w:r>
        <w:rPr>
          <w:rFonts w:hint="default" w:ascii="仿宋_GB2312" w:hAnsi="仿宋_GB2312" w:eastAsia="仿宋_GB2312" w:cs="仿宋_GB2312"/>
          <w:highlight w:val="none"/>
          <w:lang w:val="en-US" w:eastAsia="zh-CN"/>
        </w:rPr>
        <w:t>5</w:t>
      </w:r>
      <w:r>
        <w:rPr>
          <w:rFonts w:ascii="仿宋_GB2312" w:hAnsi="仿宋_GB2312" w:eastAsia="仿宋_GB2312" w:cs="仿宋_GB2312"/>
          <w:highlight w:val="none"/>
        </w:rPr>
        <w:t>.4、</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文件售价：0元。</w:t>
      </w:r>
    </w:p>
    <w:bookmarkEnd w:id="9"/>
    <w:p w14:paraId="70A9C5BD">
      <w:pPr>
        <w:pStyle w:val="11"/>
        <w:ind w:firstLine="480"/>
        <w:jc w:val="left"/>
        <w:outlineLvl w:val="2"/>
        <w:rPr>
          <w:highlight w:val="none"/>
        </w:rPr>
      </w:pPr>
      <w:r>
        <w:rPr>
          <w:rFonts w:hint="eastAsia" w:ascii="仿宋_GB2312" w:hAnsi="仿宋_GB2312" w:eastAsia="仿宋_GB2312" w:cs="仿宋_GB2312"/>
          <w:b/>
          <w:sz w:val="28"/>
          <w:highlight w:val="none"/>
          <w:lang w:val="en-US" w:eastAsia="zh-CN"/>
        </w:rPr>
        <w:t>6</w:t>
      </w:r>
      <w:r>
        <w:rPr>
          <w:rFonts w:ascii="仿宋_GB2312" w:hAnsi="仿宋_GB2312" w:eastAsia="仿宋_GB2312" w:cs="仿宋_GB2312"/>
          <w:b/>
          <w:sz w:val="28"/>
          <w:highlight w:val="none"/>
        </w:rPr>
        <w:t>、提交响应文件截止时间：</w:t>
      </w:r>
    </w:p>
    <w:p w14:paraId="008A0091">
      <w:pPr>
        <w:pStyle w:val="11"/>
        <w:ind w:firstLine="480"/>
        <w:jc w:val="left"/>
        <w:outlineLvl w:val="2"/>
        <w:rPr>
          <w:rFonts w:ascii="仿宋_GB2312" w:hAnsi="仿宋_GB2312" w:eastAsia="仿宋_GB2312" w:cs="仿宋_GB2312"/>
          <w:highlight w:val="none"/>
        </w:rPr>
      </w:pPr>
      <w:r>
        <w:rPr>
          <w:rFonts w:hint="eastAsia" w:ascii="仿宋_GB2312" w:hAnsi="仿宋_GB2312" w:eastAsia="仿宋_GB2312" w:cs="仿宋_GB2312"/>
          <w:color w:val="auto"/>
          <w:sz w:val="20"/>
          <w:szCs w:val="20"/>
          <w:highlight w:val="none"/>
        </w:rPr>
        <w:t>供应商应在202</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年</w:t>
      </w:r>
      <w:r>
        <w:rPr>
          <w:rFonts w:hint="eastAsia" w:ascii="仿宋_GB2312" w:hAnsi="仿宋_GB2312" w:eastAsia="仿宋_GB2312" w:cs="仿宋_GB2312"/>
          <w:color w:val="auto"/>
          <w:sz w:val="20"/>
          <w:szCs w:val="20"/>
          <w:highlight w:val="none"/>
          <w:lang w:eastAsia="zh"/>
        </w:rPr>
        <w:t>1</w:t>
      </w:r>
      <w:r>
        <w:rPr>
          <w:rFonts w:hint="eastAsia" w:ascii="仿宋_GB2312" w:hAnsi="仿宋_GB2312" w:eastAsia="仿宋_GB2312" w:cs="仿宋_GB2312"/>
          <w:color w:val="auto"/>
          <w:sz w:val="20"/>
          <w:szCs w:val="20"/>
          <w:highlight w:val="none"/>
        </w:rPr>
        <w:t>月</w:t>
      </w:r>
      <w:r>
        <w:rPr>
          <w:rFonts w:hint="eastAsia" w:ascii="仿宋_GB2312" w:hAnsi="仿宋_GB2312" w:eastAsia="仿宋_GB2312" w:cs="仿宋_GB2312"/>
          <w:color w:val="auto"/>
          <w:sz w:val="20"/>
          <w:szCs w:val="20"/>
          <w:highlight w:val="none"/>
          <w:lang w:eastAsia="zh"/>
        </w:rPr>
        <w:t>28</w:t>
      </w:r>
      <w:r>
        <w:rPr>
          <w:rFonts w:hint="eastAsia" w:ascii="仿宋_GB2312" w:hAnsi="仿宋_GB2312" w:eastAsia="仿宋_GB2312" w:cs="仿宋_GB2312"/>
          <w:color w:val="auto"/>
          <w:sz w:val="20"/>
          <w:szCs w:val="20"/>
          <w:highlight w:val="none"/>
        </w:rPr>
        <w:t>日</w:t>
      </w:r>
      <w:r>
        <w:rPr>
          <w:rFonts w:hint="eastAsia" w:ascii="仿宋_GB2312" w:hAnsi="仿宋_GB2312" w:eastAsia="仿宋_GB2312" w:cs="仿宋_GB2312"/>
          <w:color w:val="auto"/>
          <w:sz w:val="20"/>
          <w:szCs w:val="20"/>
          <w:highlight w:val="none"/>
          <w:lang w:val="en-US" w:eastAsia="zh-CN"/>
        </w:rPr>
        <w:t>09</w:t>
      </w:r>
      <w:r>
        <w:rPr>
          <w:rFonts w:hint="eastAsia" w:ascii="仿宋_GB2312" w:hAnsi="仿宋_GB2312" w:eastAsia="仿宋_GB2312" w:cs="仿宋_GB2312"/>
          <w:color w:val="auto"/>
          <w:sz w:val="20"/>
          <w:szCs w:val="20"/>
          <w:highlight w:val="none"/>
        </w:rPr>
        <w:t>：00（北京时间）前将密封完整的纸质响应文件</w:t>
      </w:r>
      <w:r>
        <w:rPr>
          <w:rFonts w:ascii="仿宋_GB2312" w:hAnsi="仿宋_GB2312" w:eastAsia="仿宋_GB2312" w:cs="仿宋_GB2312"/>
          <w:color w:val="auto"/>
          <w:sz w:val="20"/>
          <w:szCs w:val="20"/>
          <w:highlight w:val="none"/>
        </w:rPr>
        <w:t>(一式两份)及</w:t>
      </w:r>
      <w:r>
        <w:rPr>
          <w:rFonts w:hint="eastAsia" w:ascii="仿宋_GB2312" w:hAnsi="仿宋_GB2312" w:eastAsia="仿宋_GB2312" w:cs="仿宋_GB2312"/>
          <w:color w:val="auto"/>
          <w:sz w:val="20"/>
          <w:szCs w:val="20"/>
          <w:highlight w:val="none"/>
        </w:rPr>
        <w:t>电子版响应文件（需提供签字、盖章完成的</w:t>
      </w:r>
      <w:r>
        <w:rPr>
          <w:rFonts w:hint="eastAsia" w:ascii="仿宋_GB2312" w:hAnsi="仿宋_GB2312" w:eastAsia="仿宋_GB2312" w:cs="仿宋_GB2312"/>
          <w:color w:val="auto"/>
          <w:sz w:val="20"/>
          <w:szCs w:val="20"/>
          <w:highlight w:val="none"/>
          <w:lang w:eastAsia="zh-CN"/>
        </w:rPr>
        <w:t>报价</w:t>
      </w:r>
      <w:r>
        <w:rPr>
          <w:rFonts w:hint="eastAsia" w:ascii="仿宋_GB2312" w:hAnsi="仿宋_GB2312" w:eastAsia="仿宋_GB2312" w:cs="仿宋_GB2312"/>
          <w:color w:val="auto"/>
          <w:sz w:val="20"/>
          <w:szCs w:val="20"/>
          <w:highlight w:val="none"/>
        </w:rPr>
        <w:t>文件正本扫描件PDF格式</w:t>
      </w:r>
      <w:r>
        <w:rPr>
          <w:rFonts w:hint="eastAsia" w:ascii="仿宋_GB2312" w:hAnsi="仿宋_GB2312" w:eastAsia="仿宋_GB2312" w:cs="仿宋_GB2312"/>
          <w:color w:val="auto"/>
          <w:sz w:val="20"/>
          <w:szCs w:val="20"/>
          <w:highlight w:val="none"/>
          <w:lang w:eastAsia="zh-CN"/>
        </w:rPr>
        <w:t>一份及</w:t>
      </w:r>
      <w:r>
        <w:rPr>
          <w:rFonts w:hint="eastAsia" w:ascii="仿宋_GB2312" w:hAnsi="仿宋_GB2312" w:eastAsia="仿宋_GB2312" w:cs="仿宋_GB2312"/>
          <w:color w:val="auto"/>
          <w:sz w:val="20"/>
          <w:szCs w:val="20"/>
          <w:highlight w:val="none"/>
        </w:rPr>
        <w:t>可编辑word版本</w:t>
      </w:r>
      <w:r>
        <w:rPr>
          <w:rFonts w:hint="eastAsia" w:ascii="仿宋_GB2312" w:hAnsi="仿宋_GB2312" w:eastAsia="仿宋_GB2312" w:cs="仿宋_GB2312"/>
          <w:color w:val="auto"/>
          <w:sz w:val="20"/>
          <w:szCs w:val="20"/>
          <w:highlight w:val="none"/>
          <w:lang w:eastAsia="zh-CN"/>
        </w:rPr>
        <w:t>报价</w:t>
      </w:r>
      <w:r>
        <w:rPr>
          <w:rFonts w:hint="eastAsia" w:ascii="仿宋_GB2312" w:hAnsi="仿宋_GB2312" w:eastAsia="仿宋_GB2312" w:cs="仿宋_GB2312"/>
          <w:color w:val="auto"/>
          <w:sz w:val="20"/>
          <w:szCs w:val="20"/>
          <w:highlight w:val="none"/>
        </w:rPr>
        <w:t>文件一份</w:t>
      </w:r>
      <w:r>
        <w:rPr>
          <w:rFonts w:hint="eastAsia" w:ascii="仿宋_GB2312" w:hAnsi="仿宋_GB2312" w:eastAsia="仿宋_GB2312" w:cs="仿宋_GB2312"/>
          <w:color w:val="auto"/>
          <w:sz w:val="20"/>
          <w:szCs w:val="20"/>
          <w:highlight w:val="none"/>
          <w:lang w:eastAsia="zh-CN"/>
        </w:rPr>
        <w:t>拷贝至</w:t>
      </w:r>
      <w:r>
        <w:rPr>
          <w:rFonts w:hint="eastAsia" w:ascii="仿宋_GB2312" w:hAnsi="仿宋_GB2312" w:eastAsia="仿宋_GB2312" w:cs="仿宋_GB2312"/>
          <w:color w:val="auto"/>
          <w:sz w:val="20"/>
          <w:szCs w:val="20"/>
          <w:highlight w:val="none"/>
        </w:rPr>
        <w:t>U盘</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单独密封）送达福州市鼓楼区东街</w:t>
      </w:r>
      <w:r>
        <w:rPr>
          <w:rFonts w:ascii="仿宋_GB2312" w:hAnsi="仿宋_GB2312" w:eastAsia="仿宋_GB2312" w:cs="仿宋_GB2312"/>
          <w:color w:val="auto"/>
          <w:sz w:val="20"/>
          <w:szCs w:val="20"/>
          <w:highlight w:val="none"/>
        </w:rPr>
        <w:t>104</w:t>
      </w:r>
      <w:r>
        <w:rPr>
          <w:rFonts w:hint="eastAsia" w:ascii="仿宋_GB2312" w:hAnsi="仿宋_GB2312" w:eastAsia="仿宋_GB2312" w:cs="仿宋_GB2312"/>
          <w:color w:val="auto"/>
          <w:sz w:val="20"/>
          <w:szCs w:val="20"/>
          <w:highlight w:val="none"/>
        </w:rPr>
        <w:t>号榕水大厦</w:t>
      </w:r>
      <w:r>
        <w:rPr>
          <w:rFonts w:ascii="仿宋_GB2312" w:hAnsi="仿宋_GB2312" w:eastAsia="仿宋_GB2312" w:cs="仿宋_GB2312"/>
          <w:color w:val="auto"/>
          <w:sz w:val="20"/>
          <w:szCs w:val="20"/>
          <w:highlight w:val="none"/>
        </w:rPr>
        <w:t>18</w:t>
      </w:r>
      <w:r>
        <w:rPr>
          <w:rFonts w:hint="eastAsia" w:ascii="仿宋_GB2312" w:hAnsi="仿宋_GB2312" w:eastAsia="仿宋_GB2312" w:cs="仿宋_GB2312"/>
          <w:color w:val="auto"/>
          <w:sz w:val="20"/>
          <w:szCs w:val="20"/>
          <w:highlight w:val="none"/>
        </w:rPr>
        <w:t>楼资产管理部</w:t>
      </w:r>
      <w:r>
        <w:rPr>
          <w:rFonts w:hint="eastAsia" w:ascii="仿宋_GB2312" w:hAnsi="仿宋_GB2312" w:eastAsia="仿宋_GB2312" w:cs="仿宋_GB2312"/>
          <w:color w:val="auto"/>
          <w:sz w:val="20"/>
          <w:szCs w:val="20"/>
          <w:highlight w:val="none"/>
          <w:lang w:eastAsia="zh-CN"/>
        </w:rPr>
        <w:t>张</w:t>
      </w:r>
      <w:r>
        <w:rPr>
          <w:rFonts w:hint="eastAsia" w:ascii="仿宋_GB2312" w:hAnsi="仿宋_GB2312" w:eastAsia="仿宋_GB2312" w:cs="仿宋_GB2312"/>
          <w:color w:val="auto"/>
          <w:sz w:val="20"/>
          <w:szCs w:val="20"/>
          <w:highlight w:val="none"/>
        </w:rPr>
        <w:t>工收，</w:t>
      </w:r>
      <w:r>
        <w:rPr>
          <w:rFonts w:ascii="仿宋_GB2312" w:hAnsi="仿宋_GB2312" w:eastAsia="仿宋_GB2312" w:cs="仿宋_GB2312"/>
          <w:highlight w:val="none"/>
        </w:rPr>
        <w:t>逾期送达的或不符合规定的响应文件将被拒绝接收。</w:t>
      </w:r>
    </w:p>
    <w:p w14:paraId="5073ED29">
      <w:pPr>
        <w:pStyle w:val="11"/>
        <w:ind w:firstLine="480"/>
        <w:jc w:val="left"/>
        <w:outlineLvl w:val="2"/>
        <w:rPr>
          <w:highlight w:val="none"/>
        </w:rPr>
      </w:pPr>
      <w:r>
        <w:rPr>
          <w:rFonts w:hint="eastAsia" w:ascii="仿宋_GB2312" w:hAnsi="仿宋_GB2312" w:eastAsia="仿宋_GB2312" w:cs="仿宋_GB2312"/>
          <w:b/>
          <w:sz w:val="28"/>
          <w:highlight w:val="none"/>
          <w:lang w:val="en-US" w:eastAsia="zh-CN"/>
        </w:rPr>
        <w:t>7</w:t>
      </w:r>
      <w:r>
        <w:rPr>
          <w:rFonts w:ascii="仿宋_GB2312" w:hAnsi="仿宋_GB2312" w:eastAsia="仿宋_GB2312" w:cs="仿宋_GB2312"/>
          <w:b/>
          <w:sz w:val="28"/>
          <w:highlight w:val="none"/>
        </w:rPr>
        <w:t>、</w:t>
      </w:r>
      <w:r>
        <w:rPr>
          <w:rFonts w:hint="eastAsia" w:ascii="仿宋_GB2312" w:hAnsi="仿宋_GB2312" w:eastAsia="仿宋_GB2312" w:cs="仿宋_GB2312"/>
          <w:b/>
          <w:sz w:val="28"/>
          <w:highlight w:val="none"/>
          <w:lang w:eastAsia="zh-CN"/>
        </w:rPr>
        <w:t>询比</w:t>
      </w:r>
      <w:r>
        <w:rPr>
          <w:rFonts w:ascii="仿宋_GB2312" w:hAnsi="仿宋_GB2312" w:eastAsia="仿宋_GB2312" w:cs="仿宋_GB2312"/>
          <w:b/>
          <w:sz w:val="28"/>
          <w:highlight w:val="none"/>
        </w:rPr>
        <w:t>时间及地点：</w:t>
      </w:r>
    </w:p>
    <w:p w14:paraId="25805571">
      <w:pPr>
        <w:spacing w:line="360" w:lineRule="auto"/>
        <w:ind w:firstLine="400" w:firstLineChars="200"/>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开启报价文件</w:t>
      </w:r>
      <w:r>
        <w:rPr>
          <w:rFonts w:hint="eastAsia" w:ascii="仿宋_GB2312" w:hAnsi="仿宋_GB2312" w:eastAsia="仿宋_GB2312" w:cs="仿宋_GB2312"/>
          <w:kern w:val="0"/>
          <w:sz w:val="20"/>
          <w:szCs w:val="20"/>
          <w:highlight w:val="none"/>
          <w:lang w:val="en-US" w:eastAsia="zh-CN"/>
        </w:rPr>
        <w:t>询比</w:t>
      </w:r>
      <w:r>
        <w:rPr>
          <w:rFonts w:hint="eastAsia" w:ascii="仿宋_GB2312" w:hAnsi="仿宋_GB2312" w:eastAsia="仿宋_GB2312" w:cs="仿宋_GB2312"/>
          <w:kern w:val="0"/>
          <w:sz w:val="20"/>
          <w:szCs w:val="20"/>
          <w:highlight w:val="none"/>
          <w:lang w:val="en-US" w:eastAsia="zh-Hans"/>
        </w:rPr>
        <w:t>时间： 202</w:t>
      </w:r>
      <w:r>
        <w:rPr>
          <w:rFonts w:hint="eastAsia" w:ascii="仿宋_GB2312" w:hAnsi="仿宋_GB2312" w:eastAsia="仿宋_GB2312" w:cs="仿宋_GB2312"/>
          <w:kern w:val="0"/>
          <w:sz w:val="20"/>
          <w:szCs w:val="20"/>
          <w:highlight w:val="none"/>
          <w:lang w:val="en-US" w:eastAsia="zh-CN"/>
        </w:rPr>
        <w:t>6</w:t>
      </w:r>
      <w:r>
        <w:rPr>
          <w:rFonts w:hint="eastAsia" w:ascii="仿宋_GB2312" w:hAnsi="仿宋_GB2312" w:eastAsia="仿宋_GB2312" w:cs="仿宋_GB2312"/>
          <w:kern w:val="0"/>
          <w:sz w:val="20"/>
          <w:szCs w:val="20"/>
          <w:highlight w:val="none"/>
          <w:lang w:val="en-US" w:eastAsia="zh-Hans"/>
        </w:rPr>
        <w:t>年</w:t>
      </w:r>
      <w:r>
        <w:rPr>
          <w:rFonts w:hint="eastAsia" w:ascii="仿宋_GB2312" w:hAnsi="仿宋_GB2312" w:eastAsia="仿宋_GB2312" w:cs="仿宋_GB2312"/>
          <w:kern w:val="0"/>
          <w:sz w:val="20"/>
          <w:szCs w:val="20"/>
          <w:highlight w:val="none"/>
          <w:lang w:val="en-US" w:eastAsia="zh"/>
        </w:rPr>
        <w:t>1</w:t>
      </w:r>
      <w:r>
        <w:rPr>
          <w:rFonts w:hint="eastAsia" w:ascii="仿宋_GB2312" w:hAnsi="仿宋_GB2312" w:eastAsia="仿宋_GB2312" w:cs="仿宋_GB2312"/>
          <w:kern w:val="0"/>
          <w:sz w:val="20"/>
          <w:szCs w:val="20"/>
          <w:highlight w:val="none"/>
          <w:lang w:val="en-US" w:eastAsia="zh-Hans"/>
        </w:rPr>
        <w:t>月</w:t>
      </w:r>
      <w:r>
        <w:rPr>
          <w:rFonts w:hint="eastAsia" w:ascii="仿宋_GB2312" w:hAnsi="仿宋_GB2312" w:eastAsia="仿宋_GB2312" w:cs="仿宋_GB2312"/>
          <w:kern w:val="0"/>
          <w:sz w:val="20"/>
          <w:szCs w:val="20"/>
          <w:highlight w:val="none"/>
          <w:lang w:val="en-US" w:eastAsia="zh"/>
        </w:rPr>
        <w:t>28</w:t>
      </w:r>
      <w:r>
        <w:rPr>
          <w:rFonts w:hint="eastAsia" w:ascii="仿宋_GB2312" w:hAnsi="仿宋_GB2312" w:eastAsia="仿宋_GB2312" w:cs="仿宋_GB2312"/>
          <w:kern w:val="0"/>
          <w:sz w:val="20"/>
          <w:szCs w:val="20"/>
          <w:highlight w:val="none"/>
          <w:lang w:val="en-US" w:eastAsia="zh-Hans"/>
        </w:rPr>
        <w:t>日10:00（北京时间）</w:t>
      </w:r>
    </w:p>
    <w:p w14:paraId="0C423D3B">
      <w:pPr>
        <w:spacing w:line="360" w:lineRule="auto"/>
        <w:ind w:firstLine="400" w:firstLineChars="200"/>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开启报价文件</w:t>
      </w:r>
      <w:r>
        <w:rPr>
          <w:rFonts w:hint="eastAsia" w:ascii="仿宋_GB2312" w:hAnsi="仿宋_GB2312" w:eastAsia="仿宋_GB2312" w:cs="仿宋_GB2312"/>
          <w:kern w:val="0"/>
          <w:sz w:val="20"/>
          <w:szCs w:val="20"/>
          <w:highlight w:val="none"/>
          <w:lang w:val="en-US" w:eastAsia="zh-CN"/>
        </w:rPr>
        <w:t>询比</w:t>
      </w:r>
      <w:r>
        <w:rPr>
          <w:rFonts w:hint="eastAsia" w:ascii="仿宋_GB2312" w:hAnsi="仿宋_GB2312" w:eastAsia="仿宋_GB2312" w:cs="仿宋_GB2312"/>
          <w:kern w:val="0"/>
          <w:sz w:val="20"/>
          <w:szCs w:val="20"/>
          <w:highlight w:val="none"/>
          <w:lang w:val="en-US" w:eastAsia="zh-Hans"/>
        </w:rPr>
        <w:t>地点：福州市自来水有限公司</w:t>
      </w:r>
      <w:r>
        <w:rPr>
          <w:rFonts w:hint="eastAsia" w:ascii="仿宋_GB2312" w:hAnsi="仿宋_GB2312" w:eastAsia="仿宋_GB2312" w:cs="仿宋_GB2312"/>
          <w:kern w:val="0"/>
          <w:sz w:val="20"/>
          <w:szCs w:val="20"/>
          <w:highlight w:val="none"/>
          <w:lang w:val="en-US" w:eastAsia="zh-CN"/>
        </w:rPr>
        <w:t>评审</w:t>
      </w:r>
      <w:r>
        <w:rPr>
          <w:rFonts w:hint="eastAsia" w:ascii="仿宋_GB2312" w:hAnsi="仿宋_GB2312" w:eastAsia="仿宋_GB2312" w:cs="仿宋_GB2312"/>
          <w:kern w:val="0"/>
          <w:sz w:val="20"/>
          <w:szCs w:val="20"/>
          <w:highlight w:val="none"/>
          <w:lang w:val="en-US" w:eastAsia="zh-Hans"/>
        </w:rPr>
        <w:t>会议室</w:t>
      </w:r>
    </w:p>
    <w:p w14:paraId="46B99FBB">
      <w:pPr>
        <w:pStyle w:val="11"/>
        <w:ind w:firstLine="480"/>
        <w:jc w:val="left"/>
        <w:rPr>
          <w:highlight w:val="none"/>
        </w:rPr>
      </w:pPr>
    </w:p>
    <w:p w14:paraId="14CBACF0">
      <w:pPr>
        <w:pStyle w:val="11"/>
        <w:ind w:firstLine="480"/>
        <w:jc w:val="left"/>
        <w:outlineLvl w:val="2"/>
        <w:rPr>
          <w:highlight w:val="none"/>
        </w:rPr>
      </w:pPr>
      <w:r>
        <w:rPr>
          <w:rFonts w:hint="eastAsia" w:ascii="仿宋_GB2312" w:hAnsi="仿宋_GB2312" w:eastAsia="仿宋_GB2312" w:cs="仿宋_GB2312"/>
          <w:b/>
          <w:sz w:val="28"/>
          <w:highlight w:val="none"/>
          <w:lang w:val="en-US" w:eastAsia="zh-CN"/>
        </w:rPr>
        <w:t>8</w:t>
      </w:r>
      <w:r>
        <w:rPr>
          <w:rFonts w:ascii="仿宋_GB2312" w:hAnsi="仿宋_GB2312" w:eastAsia="仿宋_GB2312" w:cs="仿宋_GB2312"/>
          <w:b/>
          <w:sz w:val="28"/>
          <w:highlight w:val="none"/>
        </w:rPr>
        <w:t>、公告期限</w:t>
      </w:r>
    </w:p>
    <w:p w14:paraId="6326FD85">
      <w:pPr>
        <w:pStyle w:val="11"/>
        <w:ind w:firstLine="480"/>
        <w:jc w:val="left"/>
        <w:rPr>
          <w:highlight w:val="none"/>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公告的公告期限：自发布公告之日起3个工作日。</w:t>
      </w:r>
    </w:p>
    <w:p w14:paraId="0348A19B">
      <w:pPr>
        <w:pStyle w:val="11"/>
        <w:ind w:firstLine="480"/>
        <w:jc w:val="left"/>
        <w:rPr>
          <w:highlight w:val="none"/>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.2</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随同</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公告一并发布，其公告期限与</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公告的期限保持一致。</w:t>
      </w:r>
    </w:p>
    <w:p w14:paraId="606C5EF7">
      <w:pPr>
        <w:pStyle w:val="11"/>
        <w:ind w:firstLine="480"/>
        <w:jc w:val="left"/>
        <w:outlineLvl w:val="2"/>
        <w:rPr>
          <w:rFonts w:hint="eastAsia" w:eastAsia="仿宋_GB2312"/>
          <w:highlight w:val="none"/>
          <w:lang w:eastAsia="zh-CN"/>
        </w:rPr>
      </w:pPr>
      <w:r>
        <w:rPr>
          <w:rFonts w:hint="eastAsia" w:ascii="仿宋_GB2312" w:hAnsi="仿宋_GB2312" w:eastAsia="仿宋_GB2312" w:cs="仿宋_GB2312"/>
          <w:b/>
          <w:sz w:val="28"/>
          <w:highlight w:val="none"/>
          <w:lang w:val="en-US" w:eastAsia="zh-CN"/>
        </w:rPr>
        <w:t>9</w:t>
      </w: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福州市自来水有限公司</w:t>
      </w:r>
    </w:p>
    <w:p w14:paraId="194385A6">
      <w:pPr>
        <w:pStyle w:val="11"/>
        <w:ind w:firstLine="400" w:firstLineChars="200"/>
        <w:jc w:val="left"/>
        <w:rPr>
          <w:rFonts w:hint="default" w:eastAsia="仿宋_GB2312"/>
          <w:highlight w:val="none"/>
          <w:lang w:val="en-US" w:eastAsia="zh-CN"/>
        </w:rPr>
      </w:pPr>
      <w:r>
        <w:rPr>
          <w:rFonts w:ascii="仿宋_GB2312" w:hAnsi="仿宋_GB2312" w:eastAsia="仿宋_GB2312" w:cs="仿宋_GB2312"/>
          <w:highlight w:val="none"/>
        </w:rPr>
        <w:t xml:space="preserve">地址： </w:t>
      </w:r>
      <w:r>
        <w:rPr>
          <w:rFonts w:hint="eastAsia" w:ascii="仿宋_GB2312" w:hAnsi="仿宋_GB2312" w:eastAsia="仿宋_GB2312" w:cs="仿宋_GB2312"/>
          <w:highlight w:val="none"/>
          <w:lang w:eastAsia="zh-CN"/>
        </w:rPr>
        <w:t>福州市鼓楼区东街街道东街</w:t>
      </w:r>
      <w:r>
        <w:rPr>
          <w:rFonts w:hint="eastAsia" w:ascii="仿宋_GB2312" w:hAnsi="仿宋_GB2312" w:eastAsia="仿宋_GB2312" w:cs="仿宋_GB2312"/>
          <w:highlight w:val="none"/>
          <w:lang w:val="en-US" w:eastAsia="zh-CN"/>
        </w:rPr>
        <w:t>104号</w:t>
      </w:r>
    </w:p>
    <w:p w14:paraId="01D23E54">
      <w:pPr>
        <w:pStyle w:val="11"/>
        <w:ind w:firstLine="400" w:firstLineChars="200"/>
        <w:jc w:val="left"/>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 xml:space="preserve"> 邮编： </w:t>
      </w:r>
      <w:r>
        <w:rPr>
          <w:rFonts w:hint="eastAsia" w:ascii="仿宋_GB2312" w:hAnsi="仿宋_GB2312" w:eastAsia="仿宋_GB2312" w:cs="仿宋_GB2312"/>
          <w:highlight w:val="none"/>
          <w:lang w:val="en-US" w:eastAsia="zh-CN"/>
        </w:rPr>
        <w:t>350001</w:t>
      </w:r>
    </w:p>
    <w:p w14:paraId="6A604A89">
      <w:pPr>
        <w:pStyle w:val="11"/>
        <w:ind w:firstLine="400" w:firstLineChars="200"/>
        <w:jc w:val="left"/>
        <w:rPr>
          <w:rFonts w:hint="eastAsia" w:eastAsia="仿宋_GB2312"/>
          <w:highlight w:val="none"/>
          <w:lang w:eastAsia="zh-CN"/>
        </w:rPr>
      </w:pPr>
      <w:r>
        <w:rPr>
          <w:rFonts w:ascii="仿宋_GB2312" w:hAnsi="仿宋_GB2312" w:eastAsia="仿宋_GB2312" w:cs="仿宋_GB2312"/>
          <w:highlight w:val="none"/>
        </w:rPr>
        <w:t xml:space="preserve"> 联系人：</w:t>
      </w:r>
      <w:r>
        <w:rPr>
          <w:rFonts w:hint="eastAsia" w:ascii="仿宋_GB2312" w:hAnsi="仿宋_GB2312" w:eastAsia="仿宋_GB2312" w:cs="仿宋_GB2312"/>
          <w:highlight w:val="none"/>
          <w:lang w:eastAsia="zh-CN"/>
        </w:rPr>
        <w:t>张工</w:t>
      </w:r>
    </w:p>
    <w:p w14:paraId="1A925C13">
      <w:pPr>
        <w:pStyle w:val="11"/>
        <w:ind w:firstLine="400" w:firstLineChars="200"/>
        <w:jc w:val="left"/>
        <w:rPr>
          <w:rFonts w:hint="eastAsia" w:ascii="仿宋_GB2312" w:hAnsi="仿宋_GB2312" w:eastAsia="仿宋_GB2312" w:cs="仿宋_GB2312"/>
          <w:highlight w:val="none"/>
          <w:lang w:val="en-US" w:eastAsia="zh-CN"/>
        </w:rPr>
      </w:pPr>
      <w:r>
        <w:rPr>
          <w:rFonts w:ascii="仿宋_GB2312" w:hAnsi="仿宋_GB2312" w:eastAsia="仿宋_GB2312" w:cs="仿宋_GB2312"/>
          <w:highlight w:val="none"/>
        </w:rPr>
        <w:t xml:space="preserve"> 联系电话： </w:t>
      </w:r>
      <w:r>
        <w:rPr>
          <w:rFonts w:hint="eastAsia" w:ascii="仿宋_GB2312" w:hAnsi="仿宋_GB2312" w:eastAsia="仿宋_GB2312" w:cs="仿宋_GB2312"/>
          <w:highlight w:val="none"/>
          <w:lang w:val="en-US" w:eastAsia="zh-CN"/>
        </w:rPr>
        <w:t>0591-87539176</w:t>
      </w:r>
    </w:p>
    <w:p w14:paraId="60AE2F09">
      <w:pPr>
        <w:pStyle w:val="11"/>
        <w:ind w:firstLine="480"/>
        <w:jc w:val="left"/>
        <w:outlineLvl w:val="2"/>
        <w:rPr>
          <w:rFonts w:hint="eastAsia" w:ascii="仿宋_GB2312" w:hAnsi="仿宋_GB2312" w:eastAsia="仿宋_GB2312" w:cs="仿宋_GB2312"/>
          <w:b/>
          <w:sz w:val="28"/>
          <w:highlight w:val="none"/>
          <w:lang w:eastAsia="zh-CN"/>
        </w:rPr>
      </w:pPr>
      <w:r>
        <w:rPr>
          <w:rFonts w:hint="eastAsia" w:ascii="仿宋_GB2312" w:hAnsi="仿宋_GB2312" w:eastAsia="仿宋_GB2312" w:cs="仿宋_GB2312"/>
          <w:b/>
          <w:sz w:val="28"/>
          <w:highlight w:val="none"/>
          <w:lang w:eastAsia="zh-CN"/>
        </w:rPr>
        <w:t>1</w:t>
      </w:r>
      <w:r>
        <w:rPr>
          <w:rFonts w:hint="eastAsia" w:ascii="仿宋_GB2312" w:hAnsi="仿宋_GB2312" w:eastAsia="仿宋_GB2312" w:cs="仿宋_GB2312"/>
          <w:b/>
          <w:sz w:val="28"/>
          <w:highlight w:val="none"/>
          <w:lang w:val="en-US" w:eastAsia="zh-CN"/>
        </w:rPr>
        <w:t>0</w:t>
      </w:r>
      <w:r>
        <w:rPr>
          <w:rFonts w:hint="eastAsia" w:ascii="仿宋_GB2312" w:hAnsi="仿宋_GB2312" w:eastAsia="仿宋_GB2312" w:cs="仿宋_GB2312"/>
          <w:b/>
          <w:sz w:val="28"/>
          <w:highlight w:val="none"/>
          <w:lang w:eastAsia="zh-CN"/>
        </w:rPr>
        <w:t>.代理机构：（无）</w:t>
      </w:r>
    </w:p>
    <w:p w14:paraId="7F1C128B">
      <w:pPr>
        <w:pStyle w:val="11"/>
        <w:ind w:firstLine="400" w:firstLineChars="200"/>
        <w:jc w:val="left"/>
        <w:rPr>
          <w:highlight w:val="none"/>
        </w:rPr>
      </w:pPr>
      <w:r>
        <w:rPr>
          <w:rFonts w:ascii="仿宋_GB2312" w:hAnsi="仿宋_GB2312" w:eastAsia="仿宋_GB2312" w:cs="仿宋_GB2312"/>
          <w:highlight w:val="none"/>
        </w:rPr>
        <w:t>地址：</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 xml:space="preserve"> </w:t>
      </w:r>
    </w:p>
    <w:p w14:paraId="4F7AD8D8">
      <w:pPr>
        <w:pStyle w:val="11"/>
        <w:ind w:firstLine="400" w:firstLineChars="200"/>
        <w:jc w:val="left"/>
        <w:rPr>
          <w:rFonts w:ascii="仿宋_GB2312" w:hAnsi="仿宋_GB2312" w:eastAsia="仿宋_GB2312" w:cs="仿宋_GB2312"/>
          <w:highlight w:val="none"/>
        </w:rPr>
      </w:pPr>
      <w:r>
        <w:rPr>
          <w:rFonts w:ascii="仿宋_GB2312" w:hAnsi="仿宋_GB2312" w:eastAsia="仿宋_GB2312" w:cs="仿宋_GB2312"/>
          <w:highlight w:val="none"/>
        </w:rPr>
        <w:t xml:space="preserve"> 邮编：</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 xml:space="preserve"> </w:t>
      </w:r>
    </w:p>
    <w:p w14:paraId="3FFA1A56">
      <w:pPr>
        <w:pStyle w:val="11"/>
        <w:ind w:firstLine="400" w:firstLineChars="200"/>
        <w:jc w:val="left"/>
        <w:rPr>
          <w:rFonts w:hint="eastAsia" w:eastAsia="仿宋_GB2312"/>
          <w:highlight w:val="none"/>
          <w:lang w:val="en-US" w:eastAsia="zh-CN"/>
        </w:rPr>
      </w:pPr>
      <w:r>
        <w:rPr>
          <w:rFonts w:ascii="仿宋_GB2312" w:hAnsi="仿宋_GB2312" w:eastAsia="仿宋_GB2312" w:cs="仿宋_GB2312"/>
          <w:highlight w:val="none"/>
        </w:rPr>
        <w:t xml:space="preserve"> 联系人：</w:t>
      </w:r>
      <w:r>
        <w:rPr>
          <w:rFonts w:hint="eastAsia" w:ascii="仿宋_GB2312" w:hAnsi="仿宋_GB2312" w:eastAsia="仿宋_GB2312" w:cs="仿宋_GB2312"/>
          <w:highlight w:val="none"/>
          <w:lang w:val="en-US" w:eastAsia="zh-CN"/>
        </w:rPr>
        <w:t>/</w:t>
      </w:r>
    </w:p>
    <w:p w14:paraId="370931F5">
      <w:pPr>
        <w:pStyle w:val="11"/>
        <w:ind w:firstLine="400" w:firstLineChars="200"/>
        <w:jc w:val="left"/>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 xml:space="preserve"> 联系电话：</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 xml:space="preserve"> </w:t>
      </w:r>
    </w:p>
    <w:p w14:paraId="3894AC58">
      <w:pPr>
        <w:pStyle w:val="11"/>
        <w:jc w:val="left"/>
        <w:outlineLvl w:val="2"/>
        <w:rPr>
          <w:highlight w:val="none"/>
        </w:rPr>
      </w:pPr>
      <w:r>
        <w:rPr>
          <w:rFonts w:ascii="仿宋_GB2312" w:hAnsi="仿宋_GB2312" w:eastAsia="仿宋_GB2312" w:cs="仿宋_GB2312"/>
          <w:b/>
          <w:sz w:val="28"/>
          <w:highlight w:val="none"/>
        </w:rPr>
        <w:t>附</w:t>
      </w:r>
      <w:r>
        <w:rPr>
          <w:rFonts w:hint="eastAsia" w:ascii="仿宋_GB2312" w:hAnsi="仿宋_GB2312" w:eastAsia="仿宋_GB2312" w:cs="仿宋_GB2312"/>
          <w:b/>
          <w:sz w:val="28"/>
          <w:highlight w:val="none"/>
          <w:lang w:val="en-US" w:eastAsia="zh-CN"/>
        </w:rPr>
        <w:t>1</w:t>
      </w:r>
      <w:r>
        <w:rPr>
          <w:rFonts w:ascii="仿宋_GB2312" w:hAnsi="仿宋_GB2312" w:eastAsia="仿宋_GB2312" w:cs="仿宋_GB2312"/>
          <w:b/>
          <w:sz w:val="28"/>
          <w:highlight w:val="none"/>
        </w:rPr>
        <w:t>：采购标的一览表</w:t>
      </w:r>
    </w:p>
    <w:p w14:paraId="17B0223E">
      <w:pPr>
        <w:pStyle w:val="11"/>
        <w:jc w:val="left"/>
        <w:rPr>
          <w:rFonts w:hint="default" w:eastAsia="仿宋_GB2312"/>
          <w:highlight w:val="none"/>
          <w:lang w:val="en-US" w:eastAsia="zh-CN"/>
        </w:rPr>
      </w:pPr>
      <w:r>
        <w:rPr>
          <w:rFonts w:ascii="仿宋_GB2312" w:hAnsi="仿宋_GB2312" w:eastAsia="仿宋_GB2312" w:cs="仿宋_GB2312"/>
          <w:highlight w:val="none"/>
        </w:rPr>
        <w:t xml:space="preserve">采购包预算金额（元）: </w:t>
      </w:r>
      <w:r>
        <w:rPr>
          <w:rFonts w:hint="eastAsia" w:ascii="仿宋_GB2312" w:hAnsi="仿宋_GB2312" w:eastAsia="仿宋_GB2312" w:cs="仿宋_GB2312"/>
          <w:highlight w:val="none"/>
          <w:lang w:val="en-US" w:eastAsia="zh-CN"/>
        </w:rPr>
        <w:t>50000</w:t>
      </w:r>
    </w:p>
    <w:p w14:paraId="44B52FE2">
      <w:pPr>
        <w:pStyle w:val="11"/>
        <w:jc w:val="left"/>
        <w:rPr>
          <w:rFonts w:hint="default" w:eastAsia="仿宋_GB2312"/>
          <w:highlight w:val="none"/>
          <w:lang w:val="en-US" w:eastAsia="zh-CN"/>
        </w:rPr>
      </w:pPr>
      <w:r>
        <w:rPr>
          <w:rFonts w:ascii="仿宋_GB2312" w:hAnsi="仿宋_GB2312" w:eastAsia="仿宋_GB2312" w:cs="仿宋_GB2312"/>
          <w:highlight w:val="none"/>
        </w:rPr>
        <w:t xml:space="preserve">采购包最高限价（元）: </w:t>
      </w:r>
      <w:r>
        <w:rPr>
          <w:rFonts w:hint="eastAsia" w:ascii="仿宋_GB2312" w:hAnsi="仿宋_GB2312" w:eastAsia="仿宋_GB2312" w:cs="仿宋_GB2312"/>
          <w:highlight w:val="none"/>
          <w:lang w:val="en-US" w:eastAsia="zh-CN"/>
        </w:rPr>
        <w:t>50000</w:t>
      </w:r>
    </w:p>
    <w:p w14:paraId="12FC2A6E">
      <w:pPr>
        <w:pStyle w:val="11"/>
        <w:jc w:val="center"/>
        <w:outlineLvl w:val="1"/>
        <w:rPr>
          <w:highlight w:val="none"/>
        </w:rPr>
      </w:pPr>
      <w:bookmarkStart w:id="10" w:name="_Toc2019118137_WPSOffice_Level1"/>
      <w:r>
        <w:rPr>
          <w:rFonts w:ascii="仿宋_GB2312" w:hAnsi="仿宋_GB2312" w:eastAsia="仿宋_GB2312" w:cs="仿宋_GB2312"/>
          <w:b/>
          <w:sz w:val="36"/>
          <w:highlight w:val="none"/>
        </w:rPr>
        <w:t xml:space="preserve">第二章 </w:t>
      </w:r>
      <w:r>
        <w:rPr>
          <w:rFonts w:hint="eastAsia" w:ascii="仿宋_GB2312" w:hAnsi="仿宋_GB2312" w:eastAsia="仿宋_GB2312" w:cs="仿宋_GB2312"/>
          <w:b/>
          <w:sz w:val="36"/>
          <w:highlight w:val="none"/>
          <w:lang w:eastAsia="zh-CN"/>
        </w:rPr>
        <w:t>询比</w:t>
      </w:r>
      <w:r>
        <w:rPr>
          <w:rFonts w:ascii="仿宋_GB2312" w:hAnsi="仿宋_GB2312" w:eastAsia="仿宋_GB2312" w:cs="仿宋_GB2312"/>
          <w:b/>
          <w:sz w:val="36"/>
          <w:highlight w:val="none"/>
        </w:rPr>
        <w:t>须知</w:t>
      </w:r>
      <w:bookmarkEnd w:id="10"/>
    </w:p>
    <w:p w14:paraId="4C92A783">
      <w:pPr>
        <w:pStyle w:val="11"/>
        <w:jc w:val="center"/>
        <w:outlineLvl w:val="2"/>
        <w:rPr>
          <w:highlight w:val="none"/>
        </w:rPr>
      </w:pPr>
      <w:r>
        <w:rPr>
          <w:rFonts w:ascii="仿宋_GB2312" w:hAnsi="仿宋_GB2312" w:eastAsia="仿宋_GB2312" w:cs="仿宋_GB2312"/>
          <w:b/>
          <w:sz w:val="28"/>
          <w:highlight w:val="none"/>
        </w:rPr>
        <w:t xml:space="preserve">第1节 </w:t>
      </w:r>
      <w:r>
        <w:rPr>
          <w:rFonts w:hint="eastAsia" w:ascii="仿宋_GB2312" w:hAnsi="仿宋_GB2312" w:eastAsia="仿宋_GB2312" w:cs="仿宋_GB2312"/>
          <w:b/>
          <w:sz w:val="28"/>
          <w:highlight w:val="none"/>
          <w:lang w:eastAsia="zh-CN"/>
        </w:rPr>
        <w:t>询比</w:t>
      </w:r>
      <w:r>
        <w:rPr>
          <w:rFonts w:ascii="仿宋_GB2312" w:hAnsi="仿宋_GB2312" w:eastAsia="仿宋_GB2312" w:cs="仿宋_GB2312"/>
          <w:b/>
          <w:sz w:val="28"/>
          <w:highlight w:val="none"/>
        </w:rPr>
        <w:t>须知前附表</w:t>
      </w:r>
    </w:p>
    <w:p w14:paraId="54321634">
      <w:pPr>
        <w:pStyle w:val="11"/>
        <w:jc w:val="center"/>
        <w:outlineLvl w:val="2"/>
        <w:rPr>
          <w:highlight w:val="none"/>
        </w:rPr>
      </w:pPr>
      <w:r>
        <w:rPr>
          <w:rFonts w:ascii="仿宋_GB2312" w:hAnsi="仿宋_GB2312" w:eastAsia="仿宋_GB2312" w:cs="仿宋_GB2312"/>
          <w:b/>
          <w:sz w:val="28"/>
          <w:highlight w:val="none"/>
        </w:rPr>
        <w:t>一、</w:t>
      </w:r>
      <w:r>
        <w:rPr>
          <w:rFonts w:hint="eastAsia" w:ascii="仿宋_GB2312" w:hAnsi="仿宋_GB2312" w:eastAsia="仿宋_GB2312" w:cs="仿宋_GB2312"/>
          <w:b/>
          <w:sz w:val="28"/>
          <w:highlight w:val="none"/>
          <w:lang w:eastAsia="zh-CN"/>
        </w:rPr>
        <w:t>询比</w:t>
      </w:r>
      <w:r>
        <w:rPr>
          <w:rFonts w:ascii="仿宋_GB2312" w:hAnsi="仿宋_GB2312" w:eastAsia="仿宋_GB2312" w:cs="仿宋_GB2312"/>
          <w:b/>
          <w:sz w:val="28"/>
          <w:highlight w:val="none"/>
        </w:rPr>
        <w:t>须知前附表</w:t>
      </w:r>
    </w:p>
    <w:tbl>
      <w:tblPr>
        <w:tblStyle w:val="9"/>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83"/>
        <w:gridCol w:w="2170"/>
        <w:gridCol w:w="4269"/>
      </w:tblGrid>
      <w:tr w14:paraId="5309D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47604727">
            <w:pPr>
              <w:pStyle w:val="11"/>
              <w:jc w:val="left"/>
              <w:rPr>
                <w:highlight w:val="none"/>
              </w:rPr>
            </w:pPr>
            <w:r>
              <w:rPr>
                <w:rFonts w:ascii="仿宋_GB2312" w:hAnsi="仿宋_GB2312" w:eastAsia="仿宋_GB2312" w:cs="仿宋_GB2312"/>
                <w:highlight w:val="none"/>
              </w:rPr>
              <w:t>特别提示：本表与</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对应章节的内容若不一致，以本表为准。</w:t>
            </w:r>
          </w:p>
        </w:tc>
      </w:tr>
      <w:tr w14:paraId="1DC64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494CD1A6">
            <w:pPr>
              <w:pStyle w:val="11"/>
              <w:jc w:val="center"/>
              <w:rPr>
                <w:highlight w:val="none"/>
              </w:rPr>
            </w:pPr>
            <w:r>
              <w:rPr>
                <w:rFonts w:ascii="仿宋_GB2312" w:hAnsi="仿宋_GB2312" w:eastAsia="仿宋_GB2312" w:cs="仿宋_GB2312"/>
                <w:highlight w:val="none"/>
              </w:rPr>
              <w:t>序号</w:t>
            </w:r>
          </w:p>
        </w:tc>
        <w:tc>
          <w:tcPr>
            <w:tcW w:w="2170" w:type="dxa"/>
            <w:vAlign w:val="center"/>
          </w:tcPr>
          <w:p w14:paraId="5FD2EE74">
            <w:pPr>
              <w:pStyle w:val="11"/>
              <w:jc w:val="center"/>
              <w:rPr>
                <w:highlight w:val="none"/>
              </w:rPr>
            </w:pPr>
            <w:r>
              <w:rPr>
                <w:rFonts w:ascii="仿宋_GB2312" w:hAnsi="仿宋_GB2312" w:eastAsia="仿宋_GB2312" w:cs="仿宋_GB2312"/>
                <w:highlight w:val="none"/>
              </w:rPr>
              <w:t>条款号</w:t>
            </w:r>
          </w:p>
        </w:tc>
        <w:tc>
          <w:tcPr>
            <w:tcW w:w="4269" w:type="dxa"/>
          </w:tcPr>
          <w:p w14:paraId="49A51974">
            <w:pPr>
              <w:pStyle w:val="11"/>
              <w:jc w:val="center"/>
              <w:rPr>
                <w:highlight w:val="none"/>
              </w:rPr>
            </w:pPr>
            <w:r>
              <w:rPr>
                <w:rFonts w:ascii="仿宋_GB2312" w:hAnsi="仿宋_GB2312" w:eastAsia="仿宋_GB2312" w:cs="仿宋_GB2312"/>
                <w:highlight w:val="none"/>
              </w:rPr>
              <w:t>编列内容</w:t>
            </w:r>
          </w:p>
        </w:tc>
      </w:tr>
      <w:tr w14:paraId="43A33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62BC89E0">
            <w:pPr>
              <w:pStyle w:val="11"/>
              <w:jc w:val="center"/>
              <w:rPr>
                <w:highlight w:val="none"/>
              </w:rPr>
            </w:pPr>
            <w:r>
              <w:rPr>
                <w:rFonts w:ascii="仿宋_GB2312" w:hAnsi="仿宋_GB2312" w:eastAsia="仿宋_GB2312" w:cs="仿宋_GB2312"/>
                <w:highlight w:val="none"/>
              </w:rPr>
              <w:t>1</w:t>
            </w:r>
          </w:p>
        </w:tc>
        <w:tc>
          <w:tcPr>
            <w:tcW w:w="2170" w:type="dxa"/>
            <w:vAlign w:val="center"/>
          </w:tcPr>
          <w:p w14:paraId="31B80B2A">
            <w:pPr>
              <w:pStyle w:val="11"/>
              <w:jc w:val="center"/>
              <w:rPr>
                <w:highlight w:val="none"/>
              </w:rPr>
            </w:pPr>
            <w:r>
              <w:rPr>
                <w:rFonts w:ascii="仿宋_GB2312" w:hAnsi="仿宋_GB2312" w:eastAsia="仿宋_GB2312" w:cs="仿宋_GB2312"/>
                <w:highlight w:val="none"/>
              </w:rPr>
              <w:t>3.1</w:t>
            </w:r>
          </w:p>
          <w:p w14:paraId="7138B4F5">
            <w:pPr>
              <w:pStyle w:val="11"/>
              <w:jc w:val="center"/>
              <w:rPr>
                <w:highlight w:val="none"/>
              </w:rPr>
            </w:pPr>
            <w:r>
              <w:rPr>
                <w:rFonts w:ascii="仿宋_GB2312" w:hAnsi="仿宋_GB2312" w:eastAsia="仿宋_GB2312" w:cs="仿宋_GB2312"/>
                <w:highlight w:val="none"/>
              </w:rPr>
              <w:t>（2）</w:t>
            </w:r>
          </w:p>
        </w:tc>
        <w:tc>
          <w:tcPr>
            <w:tcW w:w="4269" w:type="dxa"/>
          </w:tcPr>
          <w:p w14:paraId="4A64B519">
            <w:pPr>
              <w:pStyle w:val="11"/>
              <w:jc w:val="left"/>
              <w:rPr>
                <w:rFonts w:hint="eastAsia" w:eastAsia="仿宋_GB2312"/>
                <w:highlight w:val="none"/>
                <w:u w:val="single"/>
                <w:lang w:val="en-US" w:eastAsia="zh-CN"/>
              </w:rPr>
            </w:pPr>
            <w:r>
              <w:rPr>
                <w:rFonts w:ascii="仿宋_GB2312" w:hAnsi="仿宋_GB2312" w:eastAsia="仿宋_GB2312" w:cs="仿宋_GB2312"/>
                <w:highlight w:val="none"/>
              </w:rPr>
              <w:t>供应商的资格要求：</w:t>
            </w:r>
          </w:p>
          <w:p w14:paraId="42EF59BC">
            <w:pPr>
              <w:pStyle w:val="11"/>
              <w:jc w:val="left"/>
              <w:rPr>
                <w:highlight w:val="none"/>
              </w:rPr>
            </w:pPr>
            <w:r>
              <w:rPr>
                <w:rFonts w:ascii="仿宋_GB2312" w:hAnsi="仿宋_GB2312" w:eastAsia="仿宋_GB2312" w:cs="仿宋_GB2312"/>
                <w:highlight w:val="none"/>
              </w:rPr>
              <w:t>采购包1：</w:t>
            </w:r>
          </w:p>
          <w:tbl>
            <w:tblPr>
              <w:tblStyle w:val="9"/>
              <w:tblW w:w="40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685"/>
              <w:gridCol w:w="2947"/>
            </w:tblGrid>
            <w:tr w14:paraId="733A9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5715F2B">
                  <w:pPr>
                    <w:pStyle w:val="11"/>
                    <w:jc w:val="left"/>
                    <w:rPr>
                      <w:highlight w:val="none"/>
                    </w:rPr>
                  </w:pPr>
                  <w:r>
                    <w:rPr>
                      <w:rFonts w:ascii="仿宋_GB2312" w:hAnsi="仿宋_GB2312" w:eastAsia="仿宋_GB2312" w:cs="仿宋_GB2312"/>
                      <w:highlight w:val="none"/>
                    </w:rPr>
                    <w:t xml:space="preserve"> 序号</w:t>
                  </w:r>
                </w:p>
              </w:tc>
              <w:tc>
                <w:tcPr>
                  <w:tcW w:w="685" w:type="dxa"/>
                </w:tcPr>
                <w:p w14:paraId="43A636D8">
                  <w:pPr>
                    <w:pStyle w:val="11"/>
                    <w:jc w:val="left"/>
                    <w:rPr>
                      <w:highlight w:val="none"/>
                    </w:rPr>
                  </w:pPr>
                  <w:r>
                    <w:rPr>
                      <w:rFonts w:ascii="仿宋_GB2312" w:hAnsi="仿宋_GB2312" w:eastAsia="仿宋_GB2312" w:cs="仿宋_GB2312"/>
                      <w:highlight w:val="none"/>
                    </w:rPr>
                    <w:t xml:space="preserve"> 资格审查要求概况</w:t>
                  </w:r>
                </w:p>
              </w:tc>
              <w:tc>
                <w:tcPr>
                  <w:tcW w:w="2947" w:type="dxa"/>
                </w:tcPr>
                <w:p w14:paraId="1E1E96A5">
                  <w:pPr>
                    <w:pStyle w:val="11"/>
                    <w:jc w:val="left"/>
                    <w:rPr>
                      <w:highlight w:val="none"/>
                    </w:rPr>
                  </w:pPr>
                  <w:r>
                    <w:rPr>
                      <w:rFonts w:ascii="仿宋_GB2312" w:hAnsi="仿宋_GB2312" w:eastAsia="仿宋_GB2312" w:cs="仿宋_GB2312"/>
                      <w:highlight w:val="none"/>
                    </w:rPr>
                    <w:t xml:space="preserve"> 评审点具体描述</w:t>
                  </w:r>
                </w:p>
              </w:tc>
            </w:tr>
            <w:tr w14:paraId="4F8DA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D7790DC">
                  <w:pPr>
                    <w:pStyle w:val="11"/>
                    <w:jc w:val="left"/>
                    <w:rPr>
                      <w:highlight w:val="none"/>
                    </w:rPr>
                  </w:pPr>
                  <w:r>
                    <w:rPr>
                      <w:rFonts w:ascii="仿宋_GB2312" w:hAnsi="仿宋_GB2312" w:eastAsia="仿宋_GB2312" w:cs="仿宋_GB2312"/>
                      <w:highlight w:val="none"/>
                    </w:rPr>
                    <w:t>1</w:t>
                  </w:r>
                </w:p>
              </w:tc>
              <w:tc>
                <w:tcPr>
                  <w:tcW w:w="685" w:type="dxa"/>
                </w:tcPr>
                <w:p w14:paraId="3F6B77C8">
                  <w:pPr>
                    <w:pStyle w:val="11"/>
                    <w:jc w:val="left"/>
                    <w:rPr>
                      <w:highlight w:val="none"/>
                    </w:rPr>
                  </w:pP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响应声明</w:t>
                  </w:r>
                </w:p>
              </w:tc>
              <w:tc>
                <w:tcPr>
                  <w:tcW w:w="2947" w:type="dxa"/>
                </w:tcPr>
                <w:p w14:paraId="7BA881FC">
                  <w:pPr>
                    <w:pStyle w:val="11"/>
                    <w:jc w:val="left"/>
                    <w:rPr>
                      <w:highlight w:val="none"/>
                    </w:rPr>
                  </w:pPr>
                  <w:r>
                    <w:rPr>
                      <w:rFonts w:ascii="仿宋_GB2312" w:hAnsi="仿宋_GB2312" w:eastAsia="仿宋_GB2312" w:cs="仿宋_GB2312"/>
                      <w:highlight w:val="none"/>
                    </w:rPr>
                    <w:t>详见声明函</w:t>
                  </w:r>
                </w:p>
              </w:tc>
            </w:tr>
            <w:tr w14:paraId="4DBBC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E99FD68">
                  <w:pPr>
                    <w:pStyle w:val="11"/>
                    <w:jc w:val="left"/>
                    <w:rPr>
                      <w:highlight w:val="none"/>
                    </w:rPr>
                  </w:pPr>
                  <w:r>
                    <w:rPr>
                      <w:rFonts w:ascii="仿宋_GB2312" w:hAnsi="仿宋_GB2312" w:eastAsia="仿宋_GB2312" w:cs="仿宋_GB2312"/>
                      <w:highlight w:val="none"/>
                    </w:rPr>
                    <w:t>2</w:t>
                  </w:r>
                </w:p>
              </w:tc>
              <w:tc>
                <w:tcPr>
                  <w:tcW w:w="685" w:type="dxa"/>
                </w:tcPr>
                <w:p w14:paraId="20E2F4E4">
                  <w:pPr>
                    <w:pStyle w:val="11"/>
                    <w:jc w:val="left"/>
                    <w:rPr>
                      <w:highlight w:val="none"/>
                    </w:rPr>
                  </w:pPr>
                  <w:r>
                    <w:rPr>
                      <w:rFonts w:ascii="仿宋_GB2312" w:hAnsi="仿宋_GB2312" w:eastAsia="仿宋_GB2312" w:cs="仿宋_GB2312"/>
                      <w:highlight w:val="none"/>
                    </w:rPr>
                    <w:t>单位负责人授权书</w:t>
                  </w:r>
                </w:p>
              </w:tc>
              <w:tc>
                <w:tcPr>
                  <w:tcW w:w="2947" w:type="dxa"/>
                </w:tcPr>
                <w:p w14:paraId="6B205C99">
                  <w:pPr>
                    <w:pStyle w:val="11"/>
                    <w:jc w:val="left"/>
                    <w:rPr>
                      <w:highlight w:val="none"/>
                    </w:rPr>
                  </w:pPr>
                  <w:r>
                    <w:rPr>
                      <w:rFonts w:ascii="仿宋_GB2312" w:hAnsi="仿宋_GB2312" w:eastAsia="仿宋_GB2312" w:cs="仿宋_GB2312"/>
                      <w:highlight w:val="none"/>
                    </w:rPr>
                    <w:t>①供应商（自然人除外）：若供应商代表为单位授权的委托代理人，应提供本授权书；若供应商代表为单位负责人，应在此项下提交其身份证正反面复印件，可不提供本授权书。 ②供应商为自然人的，可不填写本授权书。</w:t>
                  </w:r>
                </w:p>
              </w:tc>
            </w:tr>
            <w:tr w14:paraId="1DC67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12DF2C4B">
                  <w:pPr>
                    <w:pStyle w:val="11"/>
                    <w:jc w:val="left"/>
                    <w:rPr>
                      <w:highlight w:val="none"/>
                    </w:rPr>
                  </w:pPr>
                  <w:r>
                    <w:rPr>
                      <w:rFonts w:ascii="仿宋_GB2312" w:hAnsi="仿宋_GB2312" w:eastAsia="仿宋_GB2312" w:cs="仿宋_GB2312"/>
                      <w:highlight w:val="none"/>
                    </w:rPr>
                    <w:t>3</w:t>
                  </w:r>
                </w:p>
              </w:tc>
              <w:tc>
                <w:tcPr>
                  <w:tcW w:w="685" w:type="dxa"/>
                </w:tcPr>
                <w:p w14:paraId="294905D3">
                  <w:pPr>
                    <w:pStyle w:val="11"/>
                    <w:jc w:val="left"/>
                    <w:rPr>
                      <w:highlight w:val="none"/>
                    </w:rPr>
                  </w:pPr>
                  <w:r>
                    <w:rPr>
                      <w:rFonts w:ascii="仿宋_GB2312" w:hAnsi="仿宋_GB2312" w:eastAsia="仿宋_GB2312" w:cs="仿宋_GB2312"/>
                      <w:highlight w:val="none"/>
                    </w:rPr>
                    <w:t>营业执照等证明文件</w:t>
                  </w:r>
                </w:p>
              </w:tc>
              <w:tc>
                <w:tcPr>
                  <w:tcW w:w="2947" w:type="dxa"/>
                </w:tcPr>
                <w:p w14:paraId="18AF10C1">
                  <w:pPr>
                    <w:pStyle w:val="11"/>
                    <w:jc w:val="left"/>
                    <w:rPr>
                      <w:highlight w:val="none"/>
                    </w:rPr>
                  </w:pPr>
                  <w:r>
                    <w:rPr>
                      <w:rFonts w:ascii="仿宋_GB2312" w:hAnsi="仿宋_GB2312" w:eastAsia="仿宋_GB2312" w:cs="仿宋_GB2312"/>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7DB6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84C82AF">
                  <w:pPr>
                    <w:pStyle w:val="11"/>
                    <w:jc w:val="left"/>
                    <w:rPr>
                      <w:highlight w:val="none"/>
                    </w:rPr>
                  </w:pPr>
                  <w:r>
                    <w:rPr>
                      <w:rFonts w:ascii="仿宋_GB2312" w:hAnsi="仿宋_GB2312" w:eastAsia="仿宋_GB2312" w:cs="仿宋_GB2312"/>
                      <w:highlight w:val="none"/>
                    </w:rPr>
                    <w:t>4</w:t>
                  </w:r>
                </w:p>
              </w:tc>
              <w:tc>
                <w:tcPr>
                  <w:tcW w:w="685" w:type="dxa"/>
                </w:tcPr>
                <w:p w14:paraId="2A522C5A">
                  <w:pPr>
                    <w:pStyle w:val="11"/>
                    <w:jc w:val="left"/>
                    <w:rPr>
                      <w:highlight w:val="none"/>
                    </w:rPr>
                  </w:pPr>
                  <w:r>
                    <w:rPr>
                      <w:rFonts w:ascii="仿宋_GB2312" w:hAnsi="仿宋_GB2312" w:eastAsia="仿宋_GB2312" w:cs="仿宋_GB2312"/>
                      <w:highlight w:val="none"/>
                    </w:rPr>
                    <w:t>提供财务状况报告（财务报告、或资信证明）</w:t>
                  </w:r>
                </w:p>
              </w:tc>
              <w:tc>
                <w:tcPr>
                  <w:tcW w:w="2947" w:type="dxa"/>
                </w:tcPr>
                <w:p w14:paraId="25B7E2CC">
                  <w:pPr>
                    <w:pStyle w:val="11"/>
                    <w:jc w:val="left"/>
                    <w:rPr>
                      <w:highlight w:val="none"/>
                    </w:rPr>
                  </w:pPr>
                  <w:r>
                    <w:rPr>
                      <w:rFonts w:ascii="仿宋_GB2312" w:hAnsi="仿宋_GB2312" w:eastAsia="仿宋_GB2312" w:cs="仿宋_GB2312"/>
                      <w:highlight w:val="none"/>
                    </w:rPr>
                    <w:t>①供应商提供的财务报告复印件（成立年限按照提交响应文件截止时间推算）应符合下列规定： a.成立年限满1年及以上的供应商，提供经审计的上一年度的年度财务报告。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p>
              </w:tc>
            </w:tr>
            <w:tr w14:paraId="14C13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3346019">
                  <w:pPr>
                    <w:pStyle w:val="11"/>
                    <w:jc w:val="left"/>
                    <w:rPr>
                      <w:highlight w:val="none"/>
                    </w:rPr>
                  </w:pPr>
                  <w:r>
                    <w:rPr>
                      <w:rFonts w:ascii="仿宋_GB2312" w:hAnsi="仿宋_GB2312" w:eastAsia="仿宋_GB2312" w:cs="仿宋_GB2312"/>
                      <w:highlight w:val="none"/>
                    </w:rPr>
                    <w:t>5</w:t>
                  </w:r>
                </w:p>
              </w:tc>
              <w:tc>
                <w:tcPr>
                  <w:tcW w:w="685" w:type="dxa"/>
                </w:tcPr>
                <w:p w14:paraId="51656351">
                  <w:pPr>
                    <w:pStyle w:val="11"/>
                    <w:jc w:val="left"/>
                    <w:rPr>
                      <w:highlight w:val="none"/>
                    </w:rPr>
                  </w:pPr>
                  <w:r>
                    <w:rPr>
                      <w:rFonts w:ascii="仿宋_GB2312" w:hAnsi="仿宋_GB2312" w:eastAsia="仿宋_GB2312" w:cs="仿宋_GB2312"/>
                      <w:highlight w:val="none"/>
                    </w:rPr>
                    <w:t>依法缴纳税收的证明材料</w:t>
                  </w:r>
                </w:p>
              </w:tc>
              <w:tc>
                <w:tcPr>
                  <w:tcW w:w="2947" w:type="dxa"/>
                </w:tcPr>
                <w:p w14:paraId="625D516C">
                  <w:pPr>
                    <w:pStyle w:val="11"/>
                    <w:jc w:val="left"/>
                    <w:rPr>
                      <w:highlight w:val="none"/>
                    </w:rPr>
                  </w:pPr>
                  <w:r>
                    <w:rPr>
                      <w:rFonts w:ascii="仿宋_GB2312" w:hAnsi="仿宋_GB2312" w:eastAsia="仿宋_GB2312" w:cs="仿宋_GB2312"/>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4CE5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375D975">
                  <w:pPr>
                    <w:pStyle w:val="11"/>
                    <w:jc w:val="left"/>
                    <w:rPr>
                      <w:highlight w:val="none"/>
                    </w:rPr>
                  </w:pPr>
                  <w:r>
                    <w:rPr>
                      <w:rFonts w:ascii="仿宋_GB2312" w:hAnsi="仿宋_GB2312" w:eastAsia="仿宋_GB2312" w:cs="仿宋_GB2312"/>
                      <w:highlight w:val="none"/>
                    </w:rPr>
                    <w:t>6</w:t>
                  </w:r>
                </w:p>
              </w:tc>
              <w:tc>
                <w:tcPr>
                  <w:tcW w:w="685" w:type="dxa"/>
                </w:tcPr>
                <w:p w14:paraId="1D633B66">
                  <w:pPr>
                    <w:pStyle w:val="11"/>
                    <w:jc w:val="left"/>
                    <w:rPr>
                      <w:highlight w:val="none"/>
                    </w:rPr>
                  </w:pPr>
                  <w:r>
                    <w:rPr>
                      <w:rFonts w:ascii="仿宋_GB2312" w:hAnsi="仿宋_GB2312" w:eastAsia="仿宋_GB2312" w:cs="仿宋_GB2312"/>
                      <w:highlight w:val="none"/>
                    </w:rPr>
                    <w:t>依法缴纳社会保障资金的证明材料</w:t>
                  </w:r>
                </w:p>
              </w:tc>
              <w:tc>
                <w:tcPr>
                  <w:tcW w:w="2947" w:type="dxa"/>
                </w:tcPr>
                <w:p w14:paraId="63361977">
                  <w:pPr>
                    <w:pStyle w:val="11"/>
                    <w:jc w:val="left"/>
                    <w:rPr>
                      <w:highlight w:val="none"/>
                    </w:rPr>
                  </w:pPr>
                  <w:r>
                    <w:rPr>
                      <w:rFonts w:ascii="仿宋_GB2312" w:hAnsi="仿宋_GB2312" w:eastAsia="仿宋_GB2312" w:cs="仿宋_GB2312"/>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C472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5822B5A7">
                  <w:pPr>
                    <w:pStyle w:val="11"/>
                    <w:jc w:val="left"/>
                    <w:rPr>
                      <w:highlight w:val="none"/>
                    </w:rPr>
                  </w:pPr>
                  <w:r>
                    <w:rPr>
                      <w:rFonts w:ascii="仿宋_GB2312" w:hAnsi="仿宋_GB2312" w:eastAsia="仿宋_GB2312" w:cs="仿宋_GB2312"/>
                      <w:highlight w:val="none"/>
                    </w:rPr>
                    <w:t>7</w:t>
                  </w:r>
                </w:p>
              </w:tc>
              <w:tc>
                <w:tcPr>
                  <w:tcW w:w="685" w:type="dxa"/>
                </w:tcPr>
                <w:p w14:paraId="51BAA721">
                  <w:pPr>
                    <w:pStyle w:val="11"/>
                    <w:jc w:val="left"/>
                    <w:rPr>
                      <w:highlight w:val="none"/>
                    </w:rPr>
                  </w:pPr>
                  <w:r>
                    <w:rPr>
                      <w:rFonts w:ascii="仿宋_GB2312" w:hAnsi="仿宋_GB2312" w:eastAsia="仿宋_GB2312" w:cs="仿宋_GB2312"/>
                      <w:highlight w:val="none"/>
                    </w:rPr>
                    <w:t>具备履行合同所必需设备和专业技术能力的声明函(若有)</w:t>
                  </w:r>
                </w:p>
              </w:tc>
              <w:tc>
                <w:tcPr>
                  <w:tcW w:w="2947" w:type="dxa"/>
                </w:tcPr>
                <w:p w14:paraId="631BD41D">
                  <w:pPr>
                    <w:pStyle w:val="11"/>
                    <w:jc w:val="left"/>
                    <w:rPr>
                      <w:highlight w:val="none"/>
                    </w:rPr>
                  </w:pPr>
                  <w:r>
                    <w:rPr>
                      <w:rFonts w:ascii="仿宋_GB2312" w:hAnsi="仿宋_GB2312" w:eastAsia="仿宋_GB2312" w:cs="仿宋_GB2312"/>
                      <w:highlight w:val="none"/>
                    </w:rPr>
                    <w:t>①采购文件未要求供应商提供“具备履行合同所必需的设备和专业技术能力专项证明材料”的，供应商应提供本声明函。 ②采购文件要求供应商提供“具备履行合同所必需的设备和专业技术能力专项证明材料”的，供应商可不提供本声明函。</w:t>
                  </w:r>
                </w:p>
              </w:tc>
            </w:tr>
            <w:tr w14:paraId="4351A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ED3396C">
                  <w:pPr>
                    <w:pStyle w:val="11"/>
                    <w:jc w:val="left"/>
                    <w:rPr>
                      <w:highlight w:val="none"/>
                    </w:rPr>
                  </w:pPr>
                  <w:r>
                    <w:rPr>
                      <w:rFonts w:ascii="仿宋_GB2312" w:hAnsi="仿宋_GB2312" w:eastAsia="仿宋_GB2312" w:cs="仿宋_GB2312"/>
                      <w:highlight w:val="none"/>
                    </w:rPr>
                    <w:t>8</w:t>
                  </w:r>
                </w:p>
              </w:tc>
              <w:tc>
                <w:tcPr>
                  <w:tcW w:w="685" w:type="dxa"/>
                </w:tcPr>
                <w:p w14:paraId="7034FC8D">
                  <w:pPr>
                    <w:pStyle w:val="11"/>
                    <w:jc w:val="left"/>
                    <w:rPr>
                      <w:highlight w:val="none"/>
                    </w:rPr>
                  </w:pPr>
                  <w:r>
                    <w:rPr>
                      <w:rFonts w:ascii="仿宋_GB2312" w:hAnsi="仿宋_GB2312" w:eastAsia="仿宋_GB2312" w:cs="仿宋_GB2312"/>
                      <w:highlight w:val="none"/>
                    </w:rPr>
                    <w:t>参加采购活动前三年内在经营活动中没有重大违法记录的声明</w:t>
                  </w:r>
                </w:p>
              </w:tc>
              <w:tc>
                <w:tcPr>
                  <w:tcW w:w="2947" w:type="dxa"/>
                </w:tcPr>
                <w:p w14:paraId="2208AA54">
                  <w:pPr>
                    <w:pStyle w:val="11"/>
                    <w:jc w:val="left"/>
                    <w:rPr>
                      <w:highlight w:val="none"/>
                    </w:rPr>
                  </w:pPr>
                  <w:r>
                    <w:rPr>
                      <w:rFonts w:ascii="仿宋_GB2312" w:hAnsi="仿宋_GB2312" w:eastAsia="仿宋_GB2312" w:cs="仿宋_GB2312"/>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23F5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C088AFF">
                  <w:pPr>
                    <w:pStyle w:val="11"/>
                    <w:jc w:val="left"/>
                    <w:rPr>
                      <w:highlight w:val="none"/>
                    </w:rPr>
                  </w:pPr>
                  <w:r>
                    <w:rPr>
                      <w:rFonts w:ascii="仿宋_GB2312" w:hAnsi="仿宋_GB2312" w:eastAsia="仿宋_GB2312" w:cs="仿宋_GB2312"/>
                      <w:highlight w:val="none"/>
                    </w:rPr>
                    <w:t>9</w:t>
                  </w:r>
                </w:p>
              </w:tc>
              <w:tc>
                <w:tcPr>
                  <w:tcW w:w="685" w:type="dxa"/>
                </w:tcPr>
                <w:p w14:paraId="43A0B7B5">
                  <w:pPr>
                    <w:pStyle w:val="11"/>
                    <w:jc w:val="left"/>
                    <w:rPr>
                      <w:highlight w:val="none"/>
                    </w:rPr>
                  </w:pPr>
                  <w:r>
                    <w:rPr>
                      <w:rFonts w:ascii="仿宋_GB2312" w:hAnsi="仿宋_GB2312" w:eastAsia="仿宋_GB2312" w:cs="仿宋_GB2312"/>
                      <w:highlight w:val="none"/>
                    </w:rPr>
                    <w:t>信用信息查询结果</w:t>
                  </w:r>
                </w:p>
              </w:tc>
              <w:tc>
                <w:tcPr>
                  <w:tcW w:w="2947" w:type="dxa"/>
                </w:tcPr>
                <w:p w14:paraId="15692946">
                  <w:pPr>
                    <w:pStyle w:val="11"/>
                    <w:jc w:val="left"/>
                    <w:rPr>
                      <w:highlight w:val="none"/>
                    </w:rPr>
                  </w:pPr>
                  <w:r>
                    <w:rPr>
                      <w:rFonts w:ascii="仿宋_GB2312" w:hAnsi="仿宋_GB2312" w:eastAsia="仿宋_GB2312" w:cs="仿宋_GB2312"/>
                      <w:highlight w:val="none"/>
                    </w:rPr>
                    <w:t>①信用记录查询的截止时点：信用记录查询的截止时点为本项目提交响应文件截止时间当日。 ②信用记录查询渠道：信用中国（www.creditchina.gov.cn）、 ③信用记录的查询：由</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小组通过上述网站查询并打印供应商的信用记录。 ④经查询，供应商参加本项目采购活动(响应截止时间)前三年内被列入</w:t>
                  </w:r>
                  <w:r>
                    <w:rPr>
                      <w:rFonts w:hint="eastAsia" w:ascii="仿宋_GB2312" w:hAnsi="仿宋_GB2312" w:eastAsia="仿宋_GB2312" w:cs="仿宋_GB2312"/>
                      <w:highlight w:val="none"/>
                      <w:lang w:eastAsia="zh-CN"/>
                    </w:rPr>
                    <w:t>失信被执行人、重大税收违法失信主体名单、严重失信主体名单</w:t>
                  </w:r>
                  <w:r>
                    <w:rPr>
                      <w:rFonts w:ascii="仿宋_GB2312" w:hAnsi="仿宋_GB2312" w:eastAsia="仿宋_GB2312" w:cs="仿宋_GB2312"/>
                      <w:highlight w:val="none"/>
                    </w:rPr>
                    <w:t>及其他重大违法记录且相关信用惩戒期限未满的，其资格审查不合格。</w:t>
                  </w:r>
                </w:p>
              </w:tc>
            </w:tr>
            <w:tr w14:paraId="66C5A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7AC85A9">
                  <w:pPr>
                    <w:pStyle w:val="11"/>
                    <w:jc w:val="left"/>
                    <w:rPr>
                      <w:rFonts w:hint="eastAsia" w:eastAsia="仿宋_GB2312"/>
                      <w:highlight w:val="none"/>
                      <w:lang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p>
              </w:tc>
              <w:tc>
                <w:tcPr>
                  <w:tcW w:w="685" w:type="dxa"/>
                </w:tcPr>
                <w:p w14:paraId="6333C8B2">
                  <w:pPr>
                    <w:pStyle w:val="11"/>
                    <w:jc w:val="left"/>
                    <w:rPr>
                      <w:highlight w:val="none"/>
                    </w:rPr>
                  </w:pPr>
                  <w:r>
                    <w:rPr>
                      <w:rFonts w:ascii="仿宋_GB2312" w:hAnsi="仿宋_GB2312" w:eastAsia="仿宋_GB2312" w:cs="仿宋_GB2312"/>
                      <w:highlight w:val="none"/>
                    </w:rPr>
                    <w:t>联合体协议（若有）</w:t>
                  </w:r>
                </w:p>
              </w:tc>
              <w:tc>
                <w:tcPr>
                  <w:tcW w:w="2947" w:type="dxa"/>
                </w:tcPr>
                <w:p w14:paraId="35725931">
                  <w:pPr>
                    <w:pStyle w:val="11"/>
                    <w:jc w:val="left"/>
                    <w:rPr>
                      <w:highlight w:val="none"/>
                    </w:rPr>
                  </w:pPr>
                  <w:r>
                    <w:rPr>
                      <w:rFonts w:ascii="仿宋_GB2312" w:hAnsi="仿宋_GB2312" w:eastAsia="仿宋_GB2312" w:cs="仿宋_GB2312"/>
                      <w:highlight w:val="none"/>
                    </w:rPr>
                    <w:t>①采购文件接受联合体报价且供应商为联合体的，供应商应提供本协议；否则无须提供。 ②本协议由委托代理人签字或盖章的，应按照采购文件第六章载明的格式提供“单位负责人授权书”。</w:t>
                  </w:r>
                </w:p>
              </w:tc>
            </w:tr>
          </w:tbl>
          <w:p w14:paraId="0B128582">
            <w:pPr>
              <w:pStyle w:val="11"/>
              <w:jc w:val="left"/>
              <w:rPr>
                <w:rFonts w:hint="default" w:eastAsia="仿宋_GB2312"/>
                <w:highlight w:val="none"/>
                <w:lang w:val="en-US" w:eastAsia="zh-CN"/>
              </w:rPr>
            </w:pPr>
            <w:r>
              <w:rPr>
                <w:rFonts w:ascii="仿宋_GB2312" w:hAnsi="仿宋_GB2312" w:eastAsia="仿宋_GB2312" w:cs="仿宋_GB2312"/>
                <w:highlight w:val="none"/>
              </w:rPr>
              <w:t>（2）特定条件：</w:t>
            </w:r>
            <w:r>
              <w:rPr>
                <w:rFonts w:hint="eastAsia" w:eastAsia="仿宋_GB2312"/>
                <w:highlight w:val="none"/>
                <w:u w:val="single"/>
                <w:lang w:val="en-US" w:eastAsia="zh-CN"/>
              </w:rPr>
              <w:t>检测单位需具备电力承装修试（四级）许可证，检测人员需具备高压电工证及低压电工证</w:t>
            </w:r>
          </w:p>
          <w:p w14:paraId="4E647402">
            <w:pPr>
              <w:pStyle w:val="11"/>
              <w:jc w:val="left"/>
              <w:rPr>
                <w:highlight w:val="none"/>
              </w:rPr>
            </w:pPr>
            <w:r>
              <w:rPr>
                <w:rFonts w:ascii="仿宋_GB2312" w:hAnsi="仿宋_GB2312" w:eastAsia="仿宋_GB2312" w:cs="仿宋_GB2312"/>
                <w:highlight w:val="none"/>
              </w:rPr>
              <w:t>是否接受联合体报价：详见第一章</w:t>
            </w:r>
            <w:r>
              <w:rPr>
                <w:rFonts w:hint="eastAsia" w:ascii="仿宋_GB2312" w:hAnsi="仿宋_GB2312" w:eastAsia="仿宋_GB2312" w:cs="仿宋_GB2312"/>
                <w:highlight w:val="none"/>
                <w:lang w:eastAsia="zh-CN"/>
              </w:rPr>
              <w:t>询比采购公告</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询比采购</w:t>
            </w:r>
            <w:r>
              <w:rPr>
                <w:rFonts w:ascii="仿宋_GB2312" w:hAnsi="仿宋_GB2312" w:eastAsia="仿宋_GB2312" w:cs="仿宋_GB2312"/>
                <w:highlight w:val="none"/>
              </w:rPr>
              <w:t>邀请书</w:t>
            </w:r>
          </w:p>
          <w:p w14:paraId="39E68951">
            <w:pPr>
              <w:pStyle w:val="11"/>
              <w:jc w:val="left"/>
              <w:rPr>
                <w:highlight w:val="none"/>
              </w:rPr>
            </w:pPr>
            <w:r>
              <w:rPr>
                <w:rFonts w:ascii="仿宋_GB2312" w:hAnsi="仿宋_GB2312" w:eastAsia="仿宋_GB2312" w:cs="仿宋_GB2312"/>
                <w:highlight w:val="none"/>
              </w:rPr>
              <w:t xml:space="preserve">(3) </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w:t>
            </w:r>
          </w:p>
          <w:p w14:paraId="702E2B93">
            <w:pPr>
              <w:pStyle w:val="11"/>
              <w:jc w:val="left"/>
              <w:rPr>
                <w:highlight w:val="none"/>
              </w:rPr>
            </w:pPr>
            <w:r>
              <w:rPr>
                <w:rFonts w:ascii="仿宋_GB2312" w:hAnsi="仿宋_GB2312" w:eastAsia="仿宋_GB2312" w:cs="仿宋_GB2312"/>
                <w:highlight w:val="none"/>
              </w:rPr>
              <w:t>备注说明：</w:t>
            </w:r>
          </w:p>
          <w:p w14:paraId="2EBA3B8C">
            <w:pPr>
              <w:pStyle w:val="11"/>
              <w:jc w:val="left"/>
              <w:rPr>
                <w:highlight w:val="none"/>
              </w:rPr>
            </w:pPr>
            <w:r>
              <w:rPr>
                <w:rFonts w:ascii="仿宋_GB2312" w:hAnsi="仿宋_GB2312" w:eastAsia="仿宋_GB2312" w:cs="仿宋_GB2312"/>
                <w:highlight w:val="none"/>
              </w:rPr>
              <w:t>①供应商应根据自身实际情况提供上述资格要求的证明材料，格式可参考</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第六章提供。</w:t>
            </w:r>
          </w:p>
          <w:p w14:paraId="4FF70550">
            <w:pPr>
              <w:pStyle w:val="11"/>
              <w:jc w:val="left"/>
              <w:rPr>
                <w:highlight w:val="none"/>
              </w:rPr>
            </w:pPr>
            <w:r>
              <w:rPr>
                <w:rFonts w:ascii="仿宋_GB2312" w:hAnsi="仿宋_GB2312" w:eastAsia="仿宋_GB2312" w:cs="仿宋_GB2312"/>
                <w:highlight w:val="none"/>
              </w:rPr>
              <w:t>②供应商提供的相应证明材料复印件均应符合：内容完整、清晰、整洁、并由供应商加盖其单位公章。</w:t>
            </w:r>
          </w:p>
          <w:p w14:paraId="32222E9C">
            <w:pPr>
              <w:pStyle w:val="11"/>
              <w:jc w:val="left"/>
              <w:rPr>
                <w:highlight w:val="none"/>
              </w:rPr>
            </w:pPr>
            <w:r>
              <w:rPr>
                <w:rFonts w:ascii="仿宋_GB2312" w:hAnsi="仿宋_GB2312" w:eastAsia="仿宋_GB2312" w:cs="仿宋_GB2312"/>
                <w:highlight w:val="none"/>
              </w:rPr>
              <w:t>③根据</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须知前附表1第1项号的“（2）特定资格条件”要求，允许供应商采用资格承诺制的并提供符合要求的资格承诺函，视为满足</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的资格要求。</w:t>
            </w:r>
          </w:p>
        </w:tc>
      </w:tr>
      <w:tr w14:paraId="435FF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666490EF">
            <w:pPr>
              <w:pStyle w:val="11"/>
              <w:jc w:val="center"/>
              <w:rPr>
                <w:highlight w:val="none"/>
              </w:rPr>
            </w:pPr>
            <w:r>
              <w:rPr>
                <w:rFonts w:ascii="仿宋_GB2312" w:hAnsi="仿宋_GB2312" w:eastAsia="仿宋_GB2312" w:cs="仿宋_GB2312"/>
                <w:highlight w:val="none"/>
              </w:rPr>
              <w:t>2</w:t>
            </w:r>
          </w:p>
        </w:tc>
        <w:tc>
          <w:tcPr>
            <w:tcW w:w="2170" w:type="dxa"/>
            <w:vAlign w:val="center"/>
          </w:tcPr>
          <w:p w14:paraId="7EB94121">
            <w:pPr>
              <w:pStyle w:val="11"/>
              <w:jc w:val="center"/>
              <w:rPr>
                <w:highlight w:val="none"/>
              </w:rPr>
            </w:pPr>
            <w:r>
              <w:rPr>
                <w:rFonts w:ascii="仿宋_GB2312" w:hAnsi="仿宋_GB2312" w:eastAsia="仿宋_GB2312" w:cs="仿宋_GB2312"/>
                <w:highlight w:val="none"/>
              </w:rPr>
              <w:t>9.4</w:t>
            </w:r>
          </w:p>
        </w:tc>
        <w:tc>
          <w:tcPr>
            <w:tcW w:w="4269" w:type="dxa"/>
          </w:tcPr>
          <w:p w14:paraId="20A27361">
            <w:pPr>
              <w:pStyle w:val="11"/>
              <w:jc w:val="left"/>
              <w:rPr>
                <w:highlight w:val="none"/>
              </w:rPr>
            </w:pPr>
            <w:r>
              <w:rPr>
                <w:rFonts w:ascii="仿宋_GB2312" w:hAnsi="仿宋_GB2312" w:eastAsia="仿宋_GB2312" w:cs="仿宋_GB2312"/>
                <w:highlight w:val="none"/>
              </w:rPr>
              <w:t>响应文件的份数</w:t>
            </w:r>
          </w:p>
          <w:p w14:paraId="110CF383">
            <w:pPr>
              <w:pStyle w:val="11"/>
              <w:jc w:val="left"/>
              <w:rPr>
                <w:highlight w:val="none"/>
              </w:rPr>
            </w:pPr>
            <w:r>
              <w:rPr>
                <w:rFonts w:ascii="仿宋_GB2312" w:hAnsi="仿宋_GB2312" w:eastAsia="仿宋_GB2312" w:cs="仿宋_GB2312"/>
                <w:highlight w:val="none"/>
              </w:rPr>
              <w:t xml:space="preserve"> （1）</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纸质响应文件</w:t>
            </w:r>
          </w:p>
          <w:p w14:paraId="41F330EF">
            <w:pPr>
              <w:pStyle w:val="11"/>
              <w:jc w:val="left"/>
              <w:rPr>
                <w:highlight w:val="none"/>
              </w:rPr>
            </w:pPr>
            <w:r>
              <w:rPr>
                <w:rFonts w:ascii="仿宋_GB2312" w:hAnsi="仿宋_GB2312" w:eastAsia="仿宋_GB2312" w:cs="仿宋_GB2312"/>
                <w:highlight w:val="none"/>
              </w:rPr>
              <w:t xml:space="preserve"> ①响应文件正本</w:t>
            </w:r>
            <w:r>
              <w:rPr>
                <w:rFonts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eastAsia="zh-CN"/>
              </w:rPr>
              <w:t xml:space="preserve"> </w:t>
            </w:r>
            <w:r>
              <w:rPr>
                <w:rFonts w:hint="eastAsia" w:ascii="仿宋_GB2312" w:hAnsi="仿宋_GB2312" w:eastAsia="仿宋_GB2312" w:cs="仿宋_GB2312"/>
                <w:highlight w:val="none"/>
                <w:u w:val="single"/>
                <w:lang w:val="en-US" w:eastAsia="zh-CN"/>
              </w:rPr>
              <w:t>1</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份、副本</w:t>
            </w:r>
            <w:r>
              <w:rPr>
                <w:rFonts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1</w:t>
            </w:r>
            <w:r>
              <w:rPr>
                <w:rFonts w:hint="eastAsia" w:ascii="仿宋_GB2312" w:hAnsi="仿宋_GB2312" w:eastAsia="仿宋_GB2312" w:cs="仿宋_GB2312"/>
                <w:highlight w:val="none"/>
                <w:u w:val="single"/>
                <w:lang w:eastAsia="zh-CN"/>
              </w:rPr>
              <w:t xml:space="preserve"> </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份。</w:t>
            </w:r>
          </w:p>
          <w:p w14:paraId="62EF7141">
            <w:pPr>
              <w:pStyle w:val="11"/>
              <w:jc w:val="left"/>
              <w:rPr>
                <w:highlight w:val="none"/>
              </w:rPr>
            </w:pPr>
            <w:r>
              <w:rPr>
                <w:rFonts w:ascii="仿宋_GB2312" w:hAnsi="仿宋_GB2312" w:eastAsia="仿宋_GB2312" w:cs="仿宋_GB2312"/>
                <w:highlight w:val="none"/>
              </w:rPr>
              <w:t xml:space="preserve"> ②可读介质（光盘或U盘）</w:t>
            </w:r>
            <w:r>
              <w:rPr>
                <w:rFonts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1</w:t>
            </w:r>
            <w:r>
              <w:rPr>
                <w:rFonts w:hint="eastAsia" w:ascii="仿宋_GB2312" w:hAnsi="仿宋_GB2312" w:eastAsia="仿宋_GB2312" w:cs="仿宋_GB2312"/>
                <w:highlight w:val="none"/>
                <w:u w:val="single"/>
                <w:lang w:eastAsia="zh-CN"/>
              </w:rPr>
              <w:t xml:space="preserve"> </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份：</w:t>
            </w:r>
            <w:r>
              <w:rPr>
                <w:rFonts w:hint="eastAsia" w:ascii="仿宋_GB2312" w:hAnsi="仿宋_GB2312" w:eastAsia="仿宋_GB2312" w:cs="仿宋_GB2312"/>
                <w:highlight w:val="none"/>
              </w:rPr>
              <w:t>将响应文件正本盖章版扫描件在可读介质中另存</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1</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份</w:t>
            </w:r>
          </w:p>
          <w:p w14:paraId="04161974">
            <w:pPr>
              <w:pStyle w:val="11"/>
              <w:jc w:val="left"/>
              <w:rPr>
                <w:highlight w:val="none"/>
              </w:rPr>
            </w:pPr>
            <w:r>
              <w:rPr>
                <w:rFonts w:ascii="仿宋_GB2312" w:hAnsi="仿宋_GB2312" w:eastAsia="仿宋_GB2312" w:cs="仿宋_GB2312"/>
                <w:highlight w:val="none"/>
              </w:rPr>
              <w:t xml:space="preserve"> （2）</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电子响应文件：上传至</w:t>
            </w:r>
            <w:r>
              <w:rPr>
                <w:rFonts w:hint="eastAsia" w:ascii="仿宋_GB2312" w:hAnsi="仿宋_GB2312" w:eastAsia="仿宋_GB2312" w:cs="仿宋_GB2312"/>
                <w:highlight w:val="none"/>
                <w:lang w:eastAsia="zh-CN"/>
              </w:rPr>
              <w:t>福州市公共资源交易网。</w:t>
            </w:r>
          </w:p>
        </w:tc>
      </w:tr>
      <w:tr w14:paraId="7ACE9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255F7F04">
            <w:pPr>
              <w:pStyle w:val="11"/>
              <w:jc w:val="center"/>
              <w:rPr>
                <w:highlight w:val="none"/>
              </w:rPr>
            </w:pPr>
            <w:r>
              <w:rPr>
                <w:rFonts w:ascii="仿宋_GB2312" w:hAnsi="仿宋_GB2312" w:eastAsia="仿宋_GB2312" w:cs="仿宋_GB2312"/>
                <w:highlight w:val="none"/>
              </w:rPr>
              <w:t>3</w:t>
            </w:r>
          </w:p>
        </w:tc>
        <w:tc>
          <w:tcPr>
            <w:tcW w:w="2170" w:type="dxa"/>
            <w:vAlign w:val="center"/>
          </w:tcPr>
          <w:p w14:paraId="40A3C5BE">
            <w:pPr>
              <w:pStyle w:val="11"/>
              <w:jc w:val="center"/>
              <w:rPr>
                <w:highlight w:val="none"/>
              </w:rPr>
            </w:pPr>
            <w:r>
              <w:rPr>
                <w:rFonts w:ascii="仿宋_GB2312" w:hAnsi="仿宋_GB2312" w:eastAsia="仿宋_GB2312" w:cs="仿宋_GB2312"/>
                <w:highlight w:val="none"/>
              </w:rPr>
              <w:t>9.5-（2）-③</w:t>
            </w:r>
          </w:p>
        </w:tc>
        <w:tc>
          <w:tcPr>
            <w:tcW w:w="4269" w:type="dxa"/>
          </w:tcPr>
          <w:p w14:paraId="5964FE7B">
            <w:pPr>
              <w:pStyle w:val="11"/>
              <w:jc w:val="left"/>
              <w:rPr>
                <w:highlight w:val="none"/>
              </w:rPr>
            </w:pPr>
            <w:r>
              <w:rPr>
                <w:rFonts w:ascii="仿宋_GB2312" w:hAnsi="仿宋_GB2312" w:eastAsia="仿宋_GB2312" w:cs="仿宋_GB2312"/>
                <w:highlight w:val="none"/>
              </w:rPr>
              <w:t>允许散装或活页装订的内容或材料：</w:t>
            </w:r>
          </w:p>
          <w:p w14:paraId="09BB9270">
            <w:pPr>
              <w:pStyle w:val="11"/>
              <w:jc w:val="left"/>
              <w:rPr>
                <w:highlight w:val="none"/>
              </w:rPr>
            </w:pPr>
            <w:r>
              <w:rPr>
                <w:rFonts w:ascii="仿宋_GB2312" w:hAnsi="仿宋_GB2312" w:eastAsia="仿宋_GB2312" w:cs="仿宋_GB2312"/>
                <w:highlight w:val="none"/>
              </w:rPr>
              <w:t xml:space="preserve"> （1）响应文件的补充、修改或撤回；</w:t>
            </w:r>
          </w:p>
          <w:p w14:paraId="50997432">
            <w:pPr>
              <w:pStyle w:val="11"/>
              <w:jc w:val="left"/>
              <w:rPr>
                <w:rFonts w:hint="default"/>
                <w:highlight w:val="none"/>
                <w:lang w:val="en-US"/>
              </w:rPr>
            </w:pPr>
            <w:r>
              <w:rPr>
                <w:rFonts w:ascii="仿宋_GB2312" w:hAnsi="仿宋_GB2312" w:eastAsia="仿宋_GB2312" w:cs="仿宋_GB2312"/>
                <w:highlight w:val="none"/>
              </w:rPr>
              <w:t xml:space="preserve"> （2）其他内容或材料：</w:t>
            </w:r>
            <w:r>
              <w:rPr>
                <w:rFonts w:hint="default" w:ascii="仿宋_GB2312" w:hAnsi="仿宋_GB2312" w:eastAsia="仿宋_GB2312" w:cs="仿宋_GB2312"/>
                <w:highlight w:val="none"/>
                <w:u w:val="single"/>
                <w:lang w:val="en-US"/>
              </w:rPr>
              <w:t xml:space="preserve">   </w:t>
            </w:r>
            <w:r>
              <w:rPr>
                <w:rFonts w:hint="eastAsia" w:ascii="仿宋_GB2312" w:hAnsi="仿宋_GB2312" w:eastAsia="仿宋_GB2312" w:cs="仿宋_GB2312"/>
                <w:highlight w:val="none"/>
                <w:u w:val="single"/>
                <w:lang w:val="en-US" w:eastAsia="zh-CN"/>
              </w:rPr>
              <w:t>无</w:t>
            </w:r>
            <w:r>
              <w:rPr>
                <w:rFonts w:hint="default" w:ascii="仿宋_GB2312" w:hAnsi="仿宋_GB2312" w:eastAsia="仿宋_GB2312" w:cs="仿宋_GB2312"/>
                <w:highlight w:val="none"/>
                <w:u w:val="single"/>
                <w:lang w:val="en-US"/>
              </w:rPr>
              <w:t xml:space="preserve">   </w:t>
            </w:r>
          </w:p>
        </w:tc>
      </w:tr>
      <w:tr w14:paraId="501C4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27960D07">
            <w:pPr>
              <w:pStyle w:val="11"/>
              <w:jc w:val="center"/>
              <w:rPr>
                <w:highlight w:val="none"/>
              </w:rPr>
            </w:pPr>
            <w:r>
              <w:rPr>
                <w:rFonts w:ascii="仿宋_GB2312" w:hAnsi="仿宋_GB2312" w:eastAsia="仿宋_GB2312" w:cs="仿宋_GB2312"/>
                <w:highlight w:val="none"/>
              </w:rPr>
              <w:t>4</w:t>
            </w:r>
          </w:p>
        </w:tc>
        <w:tc>
          <w:tcPr>
            <w:tcW w:w="2170" w:type="dxa"/>
            <w:vAlign w:val="center"/>
          </w:tcPr>
          <w:p w14:paraId="5ADE73AB">
            <w:pPr>
              <w:pStyle w:val="11"/>
              <w:jc w:val="center"/>
              <w:rPr>
                <w:highlight w:val="none"/>
              </w:rPr>
            </w:pPr>
            <w:r>
              <w:rPr>
                <w:rFonts w:ascii="仿宋_GB2312" w:hAnsi="仿宋_GB2312" w:eastAsia="仿宋_GB2312" w:cs="仿宋_GB2312"/>
                <w:highlight w:val="none"/>
              </w:rPr>
              <w:t>9.7</w:t>
            </w:r>
          </w:p>
          <w:p w14:paraId="4F476191">
            <w:pPr>
              <w:pStyle w:val="11"/>
              <w:jc w:val="center"/>
              <w:rPr>
                <w:highlight w:val="none"/>
              </w:rPr>
            </w:pPr>
            <w:r>
              <w:rPr>
                <w:rFonts w:ascii="仿宋_GB2312" w:hAnsi="仿宋_GB2312" w:eastAsia="仿宋_GB2312" w:cs="仿宋_GB2312"/>
                <w:highlight w:val="none"/>
              </w:rPr>
              <w:t>（1）</w:t>
            </w:r>
          </w:p>
        </w:tc>
        <w:tc>
          <w:tcPr>
            <w:tcW w:w="4269" w:type="dxa"/>
          </w:tcPr>
          <w:p w14:paraId="5D917B55">
            <w:pPr>
              <w:pStyle w:val="11"/>
              <w:jc w:val="left"/>
              <w:rPr>
                <w:highlight w:val="none"/>
              </w:rPr>
            </w:pPr>
            <w:r>
              <w:rPr>
                <w:rFonts w:ascii="仿宋_GB2312" w:hAnsi="仿宋_GB2312" w:eastAsia="仿宋_GB2312" w:cs="仿宋_GB2312"/>
                <w:highlight w:val="none"/>
              </w:rPr>
              <w:t>响应有效期：提交响应文件截止时间起 90 个日历日。</w:t>
            </w:r>
          </w:p>
        </w:tc>
      </w:tr>
      <w:tr w14:paraId="41F86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3016176D">
            <w:pPr>
              <w:pStyle w:val="11"/>
              <w:jc w:val="center"/>
              <w:rPr>
                <w:highlight w:val="none"/>
              </w:rPr>
            </w:pPr>
            <w:r>
              <w:rPr>
                <w:rFonts w:ascii="仿宋_GB2312" w:hAnsi="仿宋_GB2312" w:eastAsia="仿宋_GB2312" w:cs="仿宋_GB2312"/>
                <w:highlight w:val="none"/>
              </w:rPr>
              <w:t>5</w:t>
            </w:r>
          </w:p>
        </w:tc>
        <w:tc>
          <w:tcPr>
            <w:tcW w:w="2170" w:type="dxa"/>
            <w:vAlign w:val="center"/>
          </w:tcPr>
          <w:p w14:paraId="1AB2BE39">
            <w:pPr>
              <w:pStyle w:val="11"/>
              <w:jc w:val="center"/>
              <w:rPr>
                <w:highlight w:val="none"/>
              </w:rPr>
            </w:pPr>
            <w:r>
              <w:rPr>
                <w:rFonts w:ascii="仿宋_GB2312" w:hAnsi="仿宋_GB2312" w:eastAsia="仿宋_GB2312" w:cs="仿宋_GB2312"/>
                <w:highlight w:val="none"/>
              </w:rPr>
              <w:t>9.9 （2）</w:t>
            </w:r>
          </w:p>
        </w:tc>
        <w:tc>
          <w:tcPr>
            <w:tcW w:w="4269" w:type="dxa"/>
          </w:tcPr>
          <w:p w14:paraId="1AC2DACB">
            <w:pPr>
              <w:pStyle w:val="11"/>
              <w:jc w:val="left"/>
              <w:rPr>
                <w:highlight w:val="none"/>
              </w:rPr>
            </w:pPr>
            <w:r>
              <w:rPr>
                <w:rFonts w:ascii="仿宋_GB2312" w:hAnsi="仿宋_GB2312" w:eastAsia="仿宋_GB2312" w:cs="仿宋_GB2312"/>
                <w:highlight w:val="none"/>
              </w:rPr>
              <w:t>密封及其标记的具体形式：</w:t>
            </w:r>
          </w:p>
          <w:p w14:paraId="0F9B5CBC">
            <w:pPr>
              <w:pStyle w:val="11"/>
              <w:jc w:val="left"/>
              <w:rPr>
                <w:highlight w:val="none"/>
              </w:rPr>
            </w:pPr>
            <w:r>
              <w:rPr>
                <w:rFonts w:ascii="仿宋_GB2312" w:hAnsi="仿宋_GB2312" w:eastAsia="仿宋_GB2312" w:cs="仿宋_GB2312"/>
                <w:highlight w:val="none"/>
              </w:rPr>
              <w:t xml:space="preserve"> （1）全部响应文件包括正本、副本、电子文本均应密封。未密封将导致响应文件被拒收。</w:t>
            </w:r>
          </w:p>
          <w:p w14:paraId="1E414AD1">
            <w:pPr>
              <w:pStyle w:val="11"/>
              <w:jc w:val="left"/>
              <w:rPr>
                <w:highlight w:val="none"/>
              </w:rPr>
            </w:pPr>
            <w:r>
              <w:rPr>
                <w:rFonts w:ascii="仿宋_GB2312" w:hAnsi="仿宋_GB2312" w:eastAsia="仿宋_GB2312" w:cs="仿宋_GB2312"/>
                <w:highlight w:val="none"/>
              </w:rPr>
              <w:t xml:space="preserve"> （2）密封的外包装应至少标记“项目名称、项目编号、所报采购包、供应商全称”等内容，否则造成响应文件误投、遗漏或者提前拆封的，采购代理机构不承担责任。</w:t>
            </w:r>
          </w:p>
          <w:p w14:paraId="3A08FF78">
            <w:pPr>
              <w:pStyle w:val="11"/>
              <w:jc w:val="left"/>
              <w:rPr>
                <w:rFonts w:hint="default"/>
                <w:highlight w:val="none"/>
                <w:lang w:val="en-US"/>
              </w:rPr>
            </w:pPr>
            <w:r>
              <w:rPr>
                <w:rFonts w:ascii="仿宋_GB2312" w:hAnsi="仿宋_GB2312" w:eastAsia="仿宋_GB2312" w:cs="仿宋_GB2312"/>
                <w:highlight w:val="none"/>
              </w:rPr>
              <w:t xml:space="preserve"> （3）其他：</w:t>
            </w:r>
            <w:r>
              <w:rPr>
                <w:rFonts w:hint="default" w:ascii="仿宋_GB2312" w:hAnsi="仿宋_GB2312" w:eastAsia="仿宋_GB2312" w:cs="仿宋_GB2312"/>
                <w:highlight w:val="none"/>
                <w:u w:val="single"/>
                <w:lang w:val="en-US"/>
              </w:rPr>
              <w:t xml:space="preserve">     </w:t>
            </w:r>
            <w:r>
              <w:rPr>
                <w:rFonts w:hint="eastAsia" w:ascii="仿宋_GB2312" w:hAnsi="仿宋_GB2312" w:eastAsia="仿宋_GB2312" w:cs="仿宋_GB2312"/>
                <w:highlight w:val="none"/>
                <w:u w:val="single"/>
                <w:lang w:val="en-US" w:eastAsia="zh-CN"/>
              </w:rPr>
              <w:t>无</w:t>
            </w:r>
            <w:r>
              <w:rPr>
                <w:rFonts w:hint="default" w:ascii="仿宋_GB2312" w:hAnsi="仿宋_GB2312" w:eastAsia="仿宋_GB2312" w:cs="仿宋_GB2312"/>
                <w:highlight w:val="none"/>
                <w:u w:val="single"/>
                <w:lang w:val="en-US"/>
              </w:rPr>
              <w:t xml:space="preserve">   </w:t>
            </w:r>
          </w:p>
        </w:tc>
      </w:tr>
      <w:tr w14:paraId="1D8DB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208CC972">
            <w:pPr>
              <w:pStyle w:val="11"/>
              <w:jc w:val="center"/>
              <w:rPr>
                <w:highlight w:val="none"/>
              </w:rPr>
            </w:pPr>
            <w:r>
              <w:rPr>
                <w:rFonts w:ascii="仿宋_GB2312" w:hAnsi="仿宋_GB2312" w:eastAsia="仿宋_GB2312" w:cs="仿宋_GB2312"/>
                <w:highlight w:val="none"/>
              </w:rPr>
              <w:t>6</w:t>
            </w:r>
          </w:p>
        </w:tc>
        <w:tc>
          <w:tcPr>
            <w:tcW w:w="2170" w:type="dxa"/>
            <w:vAlign w:val="center"/>
          </w:tcPr>
          <w:p w14:paraId="2BE92190">
            <w:pPr>
              <w:pStyle w:val="11"/>
              <w:jc w:val="center"/>
              <w:rPr>
                <w:highlight w:val="none"/>
              </w:rPr>
            </w:pPr>
            <w:r>
              <w:rPr>
                <w:rFonts w:ascii="仿宋_GB2312" w:hAnsi="仿宋_GB2312" w:eastAsia="仿宋_GB2312" w:cs="仿宋_GB2312"/>
                <w:highlight w:val="none"/>
              </w:rPr>
              <w:t>9.6（1）</w:t>
            </w:r>
          </w:p>
        </w:tc>
        <w:tc>
          <w:tcPr>
            <w:tcW w:w="4269" w:type="dxa"/>
          </w:tcPr>
          <w:p w14:paraId="2D9AAB71">
            <w:pPr>
              <w:pStyle w:val="11"/>
              <w:jc w:val="left"/>
              <w:rPr>
                <w:rFonts w:hint="default" w:eastAsia="仿宋_GB2312"/>
                <w:highlight w:val="none"/>
                <w:lang w:val="en-US" w:eastAsia="zh-CN"/>
              </w:rPr>
            </w:pPr>
            <w:r>
              <w:rPr>
                <w:rFonts w:ascii="仿宋_GB2312" w:hAnsi="仿宋_GB2312" w:eastAsia="仿宋_GB2312" w:cs="仿宋_GB2312"/>
                <w:highlight w:val="none"/>
              </w:rPr>
              <w:t>是否允许成交人进行分包</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否</w:t>
            </w:r>
            <w:r>
              <w:rPr>
                <w:rFonts w:hint="default" w:ascii="仿宋_GB2312" w:hAnsi="仿宋_GB2312" w:eastAsia="仿宋_GB2312" w:cs="仿宋_GB2312"/>
                <w:highlight w:val="none"/>
                <w:u w:val="single"/>
                <w:lang w:val="en-US" w:eastAsia="zh-CN"/>
              </w:rPr>
              <w:t xml:space="preserve">    </w:t>
            </w:r>
          </w:p>
        </w:tc>
      </w:tr>
      <w:tr w14:paraId="7A660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079B1A34">
            <w:pPr>
              <w:pStyle w:val="11"/>
              <w:jc w:val="center"/>
              <w:rPr>
                <w:highlight w:val="none"/>
              </w:rPr>
            </w:pPr>
            <w:r>
              <w:rPr>
                <w:rFonts w:ascii="仿宋_GB2312" w:hAnsi="仿宋_GB2312" w:eastAsia="仿宋_GB2312" w:cs="仿宋_GB2312"/>
                <w:highlight w:val="none"/>
              </w:rPr>
              <w:t>7</w:t>
            </w:r>
          </w:p>
        </w:tc>
        <w:tc>
          <w:tcPr>
            <w:tcW w:w="2170" w:type="dxa"/>
            <w:vAlign w:val="center"/>
          </w:tcPr>
          <w:p w14:paraId="372F39AD">
            <w:pPr>
              <w:pStyle w:val="11"/>
              <w:jc w:val="center"/>
              <w:rPr>
                <w:highlight w:val="none"/>
              </w:rPr>
            </w:pPr>
            <w:r>
              <w:rPr>
                <w:rFonts w:ascii="仿宋_GB2312" w:hAnsi="仿宋_GB2312" w:eastAsia="仿宋_GB2312" w:cs="仿宋_GB2312"/>
                <w:highlight w:val="none"/>
              </w:rPr>
              <w:t>11.1</w:t>
            </w:r>
          </w:p>
        </w:tc>
        <w:tc>
          <w:tcPr>
            <w:tcW w:w="4269" w:type="dxa"/>
          </w:tcPr>
          <w:p w14:paraId="676319ED">
            <w:pPr>
              <w:pStyle w:val="11"/>
              <w:jc w:val="left"/>
              <w:rPr>
                <w:highlight w:val="none"/>
              </w:rPr>
            </w:pPr>
            <w:r>
              <w:rPr>
                <w:rFonts w:hint="eastAsia" w:ascii="仿宋_GB2312" w:hAnsi="仿宋_GB2312" w:eastAsia="仿宋_GB2312" w:cs="仿宋_GB2312"/>
                <w:highlight w:val="none"/>
                <w:lang w:val="en-US" w:eastAsia="zh-CN"/>
              </w:rPr>
              <w:t>成交</w:t>
            </w:r>
            <w:r>
              <w:rPr>
                <w:rFonts w:ascii="仿宋_GB2312" w:hAnsi="仿宋_GB2312" w:eastAsia="仿宋_GB2312" w:cs="仿宋_GB2312"/>
                <w:highlight w:val="none"/>
              </w:rPr>
              <w:t>人家数：</w:t>
            </w:r>
            <w:r>
              <w:rPr>
                <w:rFonts w:hint="default" w:ascii="仿宋_GB2312" w:hAnsi="仿宋_GB2312" w:eastAsia="仿宋_GB2312" w:cs="仿宋_GB2312"/>
                <w:highlight w:val="none"/>
                <w:u w:val="single"/>
                <w:lang w:val="en-US"/>
              </w:rPr>
              <w:t xml:space="preserve">     </w:t>
            </w:r>
            <w:r>
              <w:rPr>
                <w:rFonts w:hint="eastAsia" w:ascii="仿宋_GB2312" w:hAnsi="仿宋_GB2312" w:eastAsia="仿宋_GB2312" w:cs="仿宋_GB2312"/>
                <w:highlight w:val="none"/>
                <w:u w:val="single"/>
                <w:lang w:val="en-US" w:eastAsia="zh-CN"/>
              </w:rPr>
              <w:t>1</w:t>
            </w:r>
            <w:r>
              <w:rPr>
                <w:rFonts w:hint="default" w:ascii="仿宋_GB2312" w:hAnsi="仿宋_GB2312" w:eastAsia="仿宋_GB2312" w:cs="仿宋_GB2312"/>
                <w:highlight w:val="none"/>
                <w:u w:val="single"/>
                <w:lang w:val="en-US"/>
              </w:rPr>
              <w:t xml:space="preserve">   </w:t>
            </w:r>
          </w:p>
        </w:tc>
      </w:tr>
      <w:tr w14:paraId="62C4D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6647E263">
            <w:pPr>
              <w:pStyle w:val="11"/>
              <w:jc w:val="center"/>
              <w:rPr>
                <w:highlight w:val="none"/>
              </w:rPr>
            </w:pPr>
            <w:r>
              <w:rPr>
                <w:rFonts w:ascii="仿宋_GB2312" w:hAnsi="仿宋_GB2312" w:eastAsia="仿宋_GB2312" w:cs="仿宋_GB2312"/>
                <w:highlight w:val="none"/>
              </w:rPr>
              <w:t>8</w:t>
            </w:r>
          </w:p>
        </w:tc>
        <w:tc>
          <w:tcPr>
            <w:tcW w:w="2170" w:type="dxa"/>
            <w:vAlign w:val="center"/>
          </w:tcPr>
          <w:p w14:paraId="0215094D">
            <w:pPr>
              <w:pStyle w:val="11"/>
              <w:jc w:val="center"/>
              <w:rPr>
                <w:highlight w:val="none"/>
              </w:rPr>
            </w:pPr>
            <w:r>
              <w:rPr>
                <w:rFonts w:ascii="仿宋_GB2312" w:hAnsi="仿宋_GB2312" w:eastAsia="仿宋_GB2312" w:cs="仿宋_GB2312"/>
                <w:highlight w:val="none"/>
              </w:rPr>
              <w:t>12.2</w:t>
            </w:r>
          </w:p>
        </w:tc>
        <w:tc>
          <w:tcPr>
            <w:tcW w:w="4269" w:type="dxa"/>
          </w:tcPr>
          <w:p w14:paraId="21B22A77">
            <w:pPr>
              <w:pStyle w:val="11"/>
              <w:jc w:val="left"/>
              <w:rPr>
                <w:highlight w:val="none"/>
              </w:rPr>
            </w:pPr>
            <w:r>
              <w:rPr>
                <w:rFonts w:ascii="仿宋_GB2312" w:hAnsi="仿宋_GB2312" w:eastAsia="仿宋_GB2312" w:cs="仿宋_GB2312"/>
                <w:highlight w:val="none"/>
              </w:rPr>
              <w:t>合同签订时限： 自成交通知书发出之日起30个日历日内。</w:t>
            </w:r>
          </w:p>
        </w:tc>
      </w:tr>
      <w:tr w14:paraId="1F958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61030070">
            <w:pPr>
              <w:pStyle w:val="11"/>
              <w:jc w:val="center"/>
              <w:rPr>
                <w:highlight w:val="none"/>
              </w:rPr>
            </w:pPr>
            <w:r>
              <w:rPr>
                <w:rFonts w:ascii="仿宋_GB2312" w:hAnsi="仿宋_GB2312" w:eastAsia="仿宋_GB2312" w:cs="仿宋_GB2312"/>
                <w:highlight w:val="none"/>
              </w:rPr>
              <w:t>9</w:t>
            </w:r>
          </w:p>
        </w:tc>
        <w:tc>
          <w:tcPr>
            <w:tcW w:w="2170" w:type="dxa"/>
            <w:vAlign w:val="center"/>
          </w:tcPr>
          <w:p w14:paraId="75632886">
            <w:pPr>
              <w:pStyle w:val="11"/>
              <w:jc w:val="center"/>
              <w:rPr>
                <w:highlight w:val="none"/>
              </w:rPr>
            </w:pPr>
            <w:r>
              <w:rPr>
                <w:rFonts w:ascii="仿宋_GB2312" w:hAnsi="仿宋_GB2312" w:eastAsia="仿宋_GB2312" w:cs="仿宋_GB2312"/>
                <w:highlight w:val="none"/>
              </w:rPr>
              <w:t>17.1</w:t>
            </w:r>
          </w:p>
        </w:tc>
        <w:tc>
          <w:tcPr>
            <w:tcW w:w="4269" w:type="dxa"/>
          </w:tcPr>
          <w:p w14:paraId="3189F60B">
            <w:pPr>
              <w:pStyle w:val="11"/>
              <w:jc w:val="left"/>
              <w:rPr>
                <w:highlight w:val="none"/>
              </w:rPr>
            </w:pPr>
            <w:r>
              <w:rPr>
                <w:rFonts w:ascii="仿宋_GB2312" w:hAnsi="仿宋_GB2312" w:eastAsia="仿宋_GB2312" w:cs="仿宋_GB2312"/>
                <w:highlight w:val="none"/>
              </w:rPr>
              <w:t>信息公告指定媒体（以下简称：“指定媒体”）：</w:t>
            </w:r>
          </w:p>
          <w:p w14:paraId="6D0DEFA5">
            <w:pPr>
              <w:pStyle w:val="11"/>
              <w:jc w:val="left"/>
              <w:rPr>
                <w:highlight w:val="none"/>
              </w:rPr>
            </w:pPr>
            <w:r>
              <w:rPr>
                <w:rFonts w:ascii="仿宋_GB2312" w:hAnsi="仿宋_GB2312" w:eastAsia="仿宋_GB2312" w:cs="仿宋_GB2312"/>
                <w:highlight w:val="none"/>
              </w:rPr>
              <w:t xml:space="preserve"> (1)</w:t>
            </w:r>
            <w:r>
              <w:rPr>
                <w:rFonts w:hint="eastAsia" w:ascii="仿宋_GB2312" w:hAnsi="仿宋_GB2312" w:eastAsia="仿宋_GB2312" w:cs="仿宋_GB2312"/>
                <w:highlight w:val="none"/>
              </w:rPr>
              <w:t>福州</w:t>
            </w:r>
            <w:r>
              <w:rPr>
                <w:rFonts w:hint="eastAsia" w:ascii="仿宋_GB2312" w:hAnsi="仿宋_GB2312" w:eastAsia="仿宋_GB2312" w:cs="仿宋_GB2312"/>
                <w:highlight w:val="none"/>
                <w:lang w:eastAsia="zh-CN"/>
              </w:rPr>
              <w:t>水务集团有限公司（</w:t>
            </w:r>
            <w:r>
              <w:rPr>
                <w:rFonts w:hint="eastAsia" w:ascii="仿宋_GB2312" w:hAnsi="仿宋_GB2312" w:eastAsia="仿宋_GB2312" w:cs="仿宋_GB2312"/>
                <w:highlight w:val="none"/>
                <w:lang w:val="zh-CN"/>
              </w:rPr>
              <w:t>www.fzswjt.com</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 xml:space="preserve">    </w:t>
            </w:r>
          </w:p>
          <w:p w14:paraId="6E05E7C5">
            <w:pPr>
              <w:pStyle w:val="11"/>
              <w:jc w:val="left"/>
              <w:rPr>
                <w:highlight w:val="none"/>
              </w:rPr>
            </w:pPr>
            <w:r>
              <w:rPr>
                <w:rFonts w:ascii="仿宋_GB2312" w:hAnsi="仿宋_GB2312" w:eastAsia="仿宋_GB2312" w:cs="仿宋_GB2312"/>
                <w:highlight w:val="none"/>
              </w:rPr>
              <w:t xml:space="preserve"> </w:t>
            </w:r>
          </w:p>
        </w:tc>
      </w:tr>
      <w:tr w14:paraId="31861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36CA8C39">
            <w:pPr>
              <w:pStyle w:val="11"/>
              <w:jc w:val="center"/>
              <w:rPr>
                <w:rFonts w:hint="default" w:eastAsia="仿宋_GB2312"/>
                <w:highlight w:val="none"/>
                <w:lang w:val="en-US" w:eastAsia="zh-CN"/>
              </w:rPr>
            </w:pPr>
            <w:r>
              <w:rPr>
                <w:rFonts w:hint="eastAsia" w:ascii="仿宋_GB2312" w:hAnsi="仿宋_GB2312" w:eastAsia="仿宋_GB2312" w:cs="仿宋_GB2312"/>
                <w:highlight w:val="none"/>
                <w:lang w:val="en-US" w:eastAsia="zh-CN"/>
              </w:rPr>
              <w:t>10</w:t>
            </w:r>
          </w:p>
        </w:tc>
        <w:tc>
          <w:tcPr>
            <w:tcW w:w="2170" w:type="dxa"/>
            <w:vAlign w:val="center"/>
          </w:tcPr>
          <w:p w14:paraId="56E5E5C0">
            <w:pPr>
              <w:jc w:val="center"/>
              <w:rPr>
                <w:highlight w:val="none"/>
              </w:rPr>
            </w:pPr>
          </w:p>
        </w:tc>
        <w:tc>
          <w:tcPr>
            <w:tcW w:w="4269" w:type="dxa"/>
          </w:tcPr>
          <w:p w14:paraId="376C3EBB">
            <w:pPr>
              <w:pStyle w:val="11"/>
              <w:numPr>
                <w:ilvl w:val="-1"/>
                <w:numId w:val="0"/>
              </w:numPr>
              <w:jc w:val="left"/>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本项目代理服务费：</w:t>
            </w:r>
            <w:r>
              <w:rPr>
                <w:rFonts w:hint="eastAsia" w:ascii="仿宋_GB2312" w:hAnsi="仿宋_GB2312" w:eastAsia="仿宋_GB2312" w:cs="仿宋_GB2312"/>
                <w:highlight w:val="none"/>
                <w:lang w:eastAsia="zh-CN"/>
              </w:rPr>
              <w:t>无</w:t>
            </w:r>
          </w:p>
          <w:p w14:paraId="698B2963">
            <w:pPr>
              <w:pStyle w:val="11"/>
              <w:jc w:val="left"/>
              <w:rPr>
                <w:highlight w:val="none"/>
              </w:rPr>
            </w:pPr>
          </w:p>
        </w:tc>
      </w:tr>
      <w:tr w14:paraId="77E9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1E630DC8">
            <w:pPr>
              <w:pStyle w:val="11"/>
              <w:jc w:val="center"/>
              <w:rPr>
                <w:rFonts w:hint="eastAsia" w:eastAsia="仿宋_GB2312"/>
                <w:highlight w:val="none"/>
                <w:lang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1</w:t>
            </w:r>
          </w:p>
        </w:tc>
        <w:tc>
          <w:tcPr>
            <w:tcW w:w="2170" w:type="dxa"/>
            <w:vAlign w:val="center"/>
          </w:tcPr>
          <w:p w14:paraId="11D1E70A">
            <w:pPr>
              <w:pStyle w:val="11"/>
              <w:jc w:val="center"/>
              <w:rPr>
                <w:highlight w:val="none"/>
              </w:rPr>
            </w:pPr>
            <w:r>
              <w:rPr>
                <w:rFonts w:ascii="仿宋_GB2312" w:hAnsi="仿宋_GB2312" w:eastAsia="仿宋_GB2312" w:cs="仿宋_GB2312"/>
                <w:highlight w:val="none"/>
              </w:rPr>
              <w:t>15.1</w:t>
            </w:r>
          </w:p>
        </w:tc>
        <w:tc>
          <w:tcPr>
            <w:tcW w:w="4269" w:type="dxa"/>
          </w:tcPr>
          <w:p w14:paraId="02BB6B79">
            <w:pPr>
              <w:pStyle w:val="11"/>
              <w:jc w:val="left"/>
              <w:rPr>
                <w:rFonts w:hint="eastAsia" w:eastAsia="仿宋_GB2312"/>
                <w:highlight w:val="none"/>
                <w:lang w:eastAsia="zh-CN"/>
              </w:rPr>
            </w:pPr>
            <w:r>
              <w:rPr>
                <w:rFonts w:ascii="仿宋_GB2312" w:hAnsi="仿宋_GB2312" w:eastAsia="仿宋_GB2312" w:cs="仿宋_GB2312"/>
                <w:highlight w:val="none"/>
              </w:rPr>
              <w:t xml:space="preserve">监督管理部门： </w:t>
            </w:r>
            <w:r>
              <w:rPr>
                <w:rFonts w:hint="eastAsia" w:ascii="仿宋_GB2312" w:hAnsi="仿宋_GB2312" w:eastAsia="仿宋_GB2312" w:cs="仿宋_GB2312"/>
                <w:highlight w:val="none"/>
              </w:rPr>
              <w:t>福州</w:t>
            </w:r>
            <w:r>
              <w:rPr>
                <w:rFonts w:hint="eastAsia" w:ascii="仿宋_GB2312" w:hAnsi="仿宋_GB2312" w:eastAsia="仿宋_GB2312" w:cs="仿宋_GB2312"/>
                <w:highlight w:val="none"/>
                <w:lang w:eastAsia="zh-CN"/>
              </w:rPr>
              <w:t>水务集团有限公司</w:t>
            </w:r>
          </w:p>
        </w:tc>
      </w:tr>
      <w:tr w14:paraId="325DC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6D43954D">
            <w:pPr>
              <w:pStyle w:val="11"/>
              <w:jc w:val="center"/>
              <w:rPr>
                <w:rFonts w:hint="default" w:eastAsia="仿宋_GB2312"/>
                <w:highlight w:val="none"/>
                <w:lang w:val="en-US" w:eastAsia="zh-CN"/>
              </w:rPr>
            </w:pPr>
            <w:r>
              <w:rPr>
                <w:rFonts w:hint="eastAsia" w:ascii="仿宋_GB2312" w:hAnsi="仿宋_GB2312" w:eastAsia="仿宋_GB2312" w:cs="仿宋_GB2312"/>
                <w:highlight w:val="none"/>
                <w:lang w:val="en-US" w:eastAsia="zh-CN"/>
              </w:rPr>
              <w:t>12</w:t>
            </w:r>
          </w:p>
        </w:tc>
        <w:tc>
          <w:tcPr>
            <w:tcW w:w="2170" w:type="dxa"/>
            <w:vAlign w:val="center"/>
          </w:tcPr>
          <w:p w14:paraId="78E084EC">
            <w:pPr>
              <w:pStyle w:val="11"/>
              <w:jc w:val="center"/>
              <w:rPr>
                <w:rFonts w:hint="default" w:eastAsia="仿宋_GB2312"/>
                <w:highlight w:val="none"/>
                <w:lang w:val="en-US" w:eastAsia="zh-CN"/>
              </w:rPr>
            </w:pPr>
            <w:r>
              <w:rPr>
                <w:rFonts w:ascii="仿宋_GB2312" w:hAnsi="仿宋_GB2312" w:eastAsia="仿宋_GB2312" w:cs="仿宋_GB2312"/>
                <w:highlight w:val="none"/>
              </w:rPr>
              <w:t>18</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lang w:val="en-US" w:eastAsia="zh-CN"/>
              </w:rPr>
              <w:t>1</w:t>
            </w:r>
          </w:p>
        </w:tc>
        <w:tc>
          <w:tcPr>
            <w:tcW w:w="4269" w:type="dxa"/>
          </w:tcPr>
          <w:p w14:paraId="6CF3A3AB">
            <w:pPr>
              <w:pStyle w:val="11"/>
              <w:jc w:val="left"/>
              <w:rPr>
                <w:rFonts w:hint="eastAsia" w:eastAsia="仿宋_GB2312"/>
                <w:highlight w:val="none"/>
                <w:lang w:eastAsia="zh-CN"/>
              </w:rPr>
            </w:pPr>
            <w:r>
              <w:rPr>
                <w:rFonts w:ascii="仿宋_GB2312" w:hAnsi="仿宋_GB2312" w:eastAsia="仿宋_GB2312" w:cs="仿宋_GB2312"/>
                <w:highlight w:val="none"/>
              </w:rPr>
              <w:t>其他事项：</w:t>
            </w:r>
            <w:r>
              <w:rPr>
                <w:rFonts w:hint="eastAsia" w:ascii="仿宋_GB2312" w:hAnsi="仿宋_GB2312" w:eastAsia="仿宋_GB2312" w:cs="仿宋_GB2312"/>
                <w:highlight w:val="none"/>
                <w:lang w:eastAsia="zh-CN"/>
              </w:rPr>
              <w:t>无</w:t>
            </w:r>
          </w:p>
          <w:p w14:paraId="14CB0D9B">
            <w:pPr>
              <w:pStyle w:val="11"/>
              <w:jc w:val="left"/>
              <w:rPr>
                <w:highlight w:val="none"/>
              </w:rPr>
            </w:pPr>
          </w:p>
        </w:tc>
      </w:tr>
      <w:tr w14:paraId="5413A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3" w:type="dxa"/>
            <w:vAlign w:val="center"/>
          </w:tcPr>
          <w:p w14:paraId="41DCAF81">
            <w:pPr>
              <w:pStyle w:val="11"/>
              <w:jc w:val="center"/>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3</w:t>
            </w:r>
          </w:p>
        </w:tc>
        <w:tc>
          <w:tcPr>
            <w:tcW w:w="2170" w:type="dxa"/>
            <w:vAlign w:val="center"/>
          </w:tcPr>
          <w:p w14:paraId="17C99C30">
            <w:pPr>
              <w:jc w:val="center"/>
              <w:rPr>
                <w:highlight w:val="none"/>
              </w:rPr>
            </w:pPr>
          </w:p>
        </w:tc>
        <w:tc>
          <w:tcPr>
            <w:tcW w:w="4269" w:type="dxa"/>
          </w:tcPr>
          <w:p w14:paraId="1523AD92">
            <w:pPr>
              <w:pStyle w:val="11"/>
              <w:jc w:val="left"/>
              <w:rPr>
                <w:rFonts w:hint="eastAsia" w:eastAsia="仿宋_GB2312"/>
                <w:highlight w:val="none"/>
                <w:lang w:eastAsia="zh-CN"/>
              </w:rPr>
            </w:pPr>
            <w:r>
              <w:rPr>
                <w:rFonts w:ascii="仿宋_GB2312" w:hAnsi="仿宋_GB2312" w:eastAsia="仿宋_GB2312" w:cs="仿宋_GB2312"/>
                <w:highlight w:val="none"/>
              </w:rPr>
              <w:t>是否组织现场考察或召开</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前答疑会：</w:t>
            </w:r>
            <w:r>
              <w:rPr>
                <w:rFonts w:hint="eastAsia" w:ascii="仿宋_GB2312" w:hAnsi="仿宋_GB2312" w:eastAsia="仿宋_GB2312" w:cs="仿宋_GB2312"/>
                <w:highlight w:val="none"/>
                <w:lang w:eastAsia="zh-CN"/>
              </w:rPr>
              <w:t>否</w:t>
            </w:r>
          </w:p>
        </w:tc>
      </w:tr>
    </w:tbl>
    <w:p w14:paraId="011F5C5B">
      <w:pPr>
        <w:pStyle w:val="11"/>
        <w:jc w:val="center"/>
        <w:outlineLvl w:val="2"/>
        <w:rPr>
          <w:highlight w:val="none"/>
        </w:rPr>
      </w:pPr>
      <w:r>
        <w:rPr>
          <w:rFonts w:ascii="仿宋_GB2312" w:hAnsi="仿宋_GB2312" w:eastAsia="仿宋_GB2312" w:cs="仿宋_GB2312"/>
          <w:b/>
          <w:sz w:val="28"/>
          <w:highlight w:val="none"/>
        </w:rPr>
        <w:t xml:space="preserve">第2节 </w:t>
      </w:r>
      <w:r>
        <w:rPr>
          <w:rFonts w:hint="eastAsia" w:ascii="仿宋_GB2312" w:hAnsi="仿宋_GB2312" w:eastAsia="仿宋_GB2312" w:cs="仿宋_GB2312"/>
          <w:b/>
          <w:sz w:val="28"/>
          <w:highlight w:val="none"/>
          <w:lang w:eastAsia="zh-CN"/>
        </w:rPr>
        <w:t>询比</w:t>
      </w:r>
      <w:r>
        <w:rPr>
          <w:rFonts w:ascii="仿宋_GB2312" w:hAnsi="仿宋_GB2312" w:eastAsia="仿宋_GB2312" w:cs="仿宋_GB2312"/>
          <w:b/>
          <w:sz w:val="28"/>
          <w:highlight w:val="none"/>
        </w:rPr>
        <w:t>须知正文</w:t>
      </w:r>
    </w:p>
    <w:p w14:paraId="0299CADE">
      <w:pPr>
        <w:pStyle w:val="11"/>
        <w:jc w:val="center"/>
        <w:outlineLvl w:val="2"/>
        <w:rPr>
          <w:highlight w:val="none"/>
        </w:rPr>
      </w:pPr>
      <w:r>
        <w:rPr>
          <w:rFonts w:ascii="仿宋_GB2312" w:hAnsi="仿宋_GB2312" w:eastAsia="仿宋_GB2312" w:cs="仿宋_GB2312"/>
          <w:b/>
          <w:sz w:val="28"/>
          <w:highlight w:val="none"/>
        </w:rPr>
        <w:t>一、总则</w:t>
      </w:r>
    </w:p>
    <w:p w14:paraId="6108659E">
      <w:pPr>
        <w:pStyle w:val="11"/>
        <w:jc w:val="both"/>
        <w:rPr>
          <w:highlight w:val="none"/>
        </w:rPr>
      </w:pPr>
      <w:r>
        <w:rPr>
          <w:rFonts w:ascii="仿宋_GB2312" w:hAnsi="仿宋_GB2312" w:eastAsia="仿宋_GB2312" w:cs="仿宋_GB2312"/>
          <w:highlight w:val="none"/>
        </w:rPr>
        <w:t>1、适用范围</w:t>
      </w:r>
    </w:p>
    <w:p w14:paraId="29FBFAB9">
      <w:pPr>
        <w:pStyle w:val="11"/>
        <w:ind w:firstLine="480"/>
        <w:jc w:val="both"/>
        <w:rPr>
          <w:highlight w:val="none"/>
        </w:rPr>
      </w:pPr>
      <w:r>
        <w:rPr>
          <w:rFonts w:ascii="仿宋_GB2312" w:hAnsi="仿宋_GB2312" w:eastAsia="仿宋_GB2312" w:cs="仿宋_GB2312"/>
          <w:highlight w:val="none"/>
        </w:rPr>
        <w:t>1.1适用于</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载明项目的采购活动（以下简称：“本次采购活动”）。</w:t>
      </w:r>
    </w:p>
    <w:p w14:paraId="54AF086B">
      <w:pPr>
        <w:pStyle w:val="11"/>
        <w:jc w:val="both"/>
        <w:rPr>
          <w:highlight w:val="none"/>
        </w:rPr>
      </w:pPr>
      <w:r>
        <w:rPr>
          <w:rFonts w:ascii="仿宋_GB2312" w:hAnsi="仿宋_GB2312" w:eastAsia="仿宋_GB2312" w:cs="仿宋_GB2312"/>
          <w:highlight w:val="none"/>
        </w:rPr>
        <w:t>2、定义</w:t>
      </w:r>
    </w:p>
    <w:p w14:paraId="77041C12">
      <w:pPr>
        <w:pStyle w:val="11"/>
        <w:ind w:firstLine="480"/>
        <w:jc w:val="both"/>
        <w:rPr>
          <w:highlight w:val="none"/>
        </w:rPr>
      </w:pPr>
      <w:r>
        <w:rPr>
          <w:rFonts w:ascii="仿宋_GB2312" w:hAnsi="仿宋_GB2312" w:eastAsia="仿宋_GB2312" w:cs="仿宋_GB2312"/>
          <w:highlight w:val="none"/>
        </w:rPr>
        <w:t>2.1“采购标的”指</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载明的需要采购的货物</w:t>
      </w:r>
      <w:r>
        <w:rPr>
          <w:rFonts w:hint="eastAsia" w:ascii="仿宋_GB2312" w:hAnsi="仿宋_GB2312" w:eastAsia="仿宋_GB2312" w:cs="仿宋_GB2312"/>
          <w:highlight w:val="none"/>
          <w:lang w:eastAsia="zh-CN"/>
        </w:rPr>
        <w:t>、服务</w:t>
      </w:r>
      <w:r>
        <w:rPr>
          <w:rFonts w:ascii="仿宋_GB2312" w:hAnsi="仿宋_GB2312" w:eastAsia="仿宋_GB2312" w:cs="仿宋_GB2312"/>
          <w:highlight w:val="none"/>
        </w:rPr>
        <w:t>。</w:t>
      </w:r>
    </w:p>
    <w:p w14:paraId="5B0F3270">
      <w:pPr>
        <w:pStyle w:val="11"/>
        <w:ind w:firstLine="480"/>
        <w:jc w:val="both"/>
        <w:rPr>
          <w:b w:val="0"/>
          <w:bCs w:val="0"/>
          <w:highlight w:val="none"/>
        </w:rPr>
      </w:pPr>
      <w:r>
        <w:rPr>
          <w:rFonts w:ascii="仿宋_GB2312" w:hAnsi="仿宋_GB2312" w:eastAsia="仿宋_GB2312" w:cs="仿宋_GB2312"/>
          <w:highlight w:val="none"/>
        </w:rPr>
        <w:t>2.2“</w:t>
      </w:r>
      <w:r>
        <w:rPr>
          <w:rFonts w:ascii="仿宋_GB2312" w:hAnsi="仿宋_GB2312" w:eastAsia="仿宋_GB2312" w:cs="仿宋_GB2312"/>
          <w:b w:val="0"/>
          <w:bCs w:val="0"/>
          <w:highlight w:val="none"/>
        </w:rPr>
        <w:t>采购人”系指本次采购项目的业主方；“采购代理机构”系指接受采购人委托，组织开展采购活动的代理机构。</w:t>
      </w:r>
      <w:r>
        <w:rPr>
          <w:rFonts w:hint="eastAsia" w:ascii="仿宋_GB2312" w:hAnsi="仿宋_GB2312" w:eastAsia="仿宋_GB2312" w:cs="仿宋_GB2312"/>
          <w:b w:val="0"/>
          <w:bCs w:val="0"/>
          <w:highlight w:val="none"/>
          <w:lang w:val="en-US" w:eastAsia="zh-CN"/>
        </w:rPr>
        <w:t>采购人自行组织采购的，询比文件中的</w:t>
      </w:r>
      <w:r>
        <w:rPr>
          <w:rFonts w:ascii="仿宋_GB2312" w:hAnsi="仿宋_GB2312" w:eastAsia="仿宋_GB2312" w:cs="仿宋_GB2312"/>
          <w:b w:val="0"/>
          <w:bCs w:val="0"/>
          <w:highlight w:val="none"/>
        </w:rPr>
        <w:t>“采购代理机构”</w:t>
      </w:r>
      <w:r>
        <w:rPr>
          <w:rFonts w:hint="eastAsia" w:ascii="仿宋_GB2312" w:hAnsi="仿宋_GB2312" w:eastAsia="仿宋_GB2312" w:cs="仿宋_GB2312"/>
          <w:b w:val="0"/>
          <w:bCs w:val="0"/>
          <w:highlight w:val="none"/>
          <w:lang w:val="en-US" w:eastAsia="zh-CN"/>
        </w:rPr>
        <w:t>指采购人。</w:t>
      </w:r>
    </w:p>
    <w:p w14:paraId="76703A98">
      <w:pPr>
        <w:pStyle w:val="11"/>
        <w:ind w:firstLine="480"/>
        <w:jc w:val="both"/>
        <w:rPr>
          <w:highlight w:val="none"/>
        </w:rPr>
      </w:pPr>
      <w:r>
        <w:rPr>
          <w:rFonts w:ascii="仿宋_GB2312" w:hAnsi="仿宋_GB2312" w:eastAsia="仿宋_GB2312" w:cs="仿宋_GB2312"/>
          <w:highlight w:val="none"/>
        </w:rPr>
        <w:t>2.3“潜在供应商”指按照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第一章第</w:t>
      </w:r>
      <w:r>
        <w:rPr>
          <w:rFonts w:hint="default" w:ascii="仿宋_GB2312" w:hAnsi="仿宋_GB2312" w:eastAsia="仿宋_GB2312" w:cs="仿宋_GB2312"/>
          <w:highlight w:val="none"/>
          <w:lang w:val="en-US"/>
        </w:rPr>
        <w:t>5</w:t>
      </w:r>
      <w:r>
        <w:rPr>
          <w:rFonts w:ascii="仿宋_GB2312" w:hAnsi="仿宋_GB2312" w:eastAsia="仿宋_GB2312" w:cs="仿宋_GB2312"/>
          <w:highlight w:val="none"/>
        </w:rPr>
        <w:t>条规定进行获取</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且有意向参加本项目</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的供应商。</w:t>
      </w:r>
    </w:p>
    <w:p w14:paraId="64240ABA">
      <w:pPr>
        <w:pStyle w:val="11"/>
        <w:ind w:firstLine="480"/>
        <w:jc w:val="both"/>
        <w:rPr>
          <w:highlight w:val="none"/>
        </w:rPr>
      </w:pPr>
      <w:r>
        <w:rPr>
          <w:rFonts w:ascii="仿宋_GB2312" w:hAnsi="仿宋_GB2312" w:eastAsia="仿宋_GB2312" w:cs="仿宋_GB2312"/>
          <w:highlight w:val="none"/>
        </w:rPr>
        <w:t>2.4“供应商”指按照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第一章第</w:t>
      </w:r>
      <w:r>
        <w:rPr>
          <w:rFonts w:hint="default" w:ascii="仿宋_GB2312" w:hAnsi="仿宋_GB2312" w:eastAsia="仿宋_GB2312" w:cs="仿宋_GB2312"/>
          <w:highlight w:val="none"/>
          <w:lang w:val="en-US"/>
        </w:rPr>
        <w:t>5</w:t>
      </w:r>
      <w:r>
        <w:rPr>
          <w:rFonts w:ascii="仿宋_GB2312" w:hAnsi="仿宋_GB2312" w:eastAsia="仿宋_GB2312" w:cs="仿宋_GB2312"/>
          <w:highlight w:val="none"/>
        </w:rPr>
        <w:t>条规定进行获取</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并参加本项目</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的供应商。</w:t>
      </w:r>
    </w:p>
    <w:p w14:paraId="59989688">
      <w:pPr>
        <w:pStyle w:val="11"/>
        <w:ind w:firstLine="480"/>
        <w:jc w:val="both"/>
        <w:rPr>
          <w:highlight w:val="none"/>
        </w:rPr>
      </w:pPr>
      <w:r>
        <w:rPr>
          <w:rFonts w:ascii="仿宋_GB2312" w:hAnsi="仿宋_GB2312" w:eastAsia="仿宋_GB2312" w:cs="仿宋_GB2312"/>
          <w:highlight w:val="none"/>
        </w:rPr>
        <w:t>2.5“单位负责人”指单位法定代表人（供应商为法人的）或法律、法规规定代表单位行使职权的主要负责人（供应商为其他组织的）。</w:t>
      </w:r>
    </w:p>
    <w:p w14:paraId="5A0FF2A5">
      <w:pPr>
        <w:pStyle w:val="11"/>
        <w:ind w:firstLine="480"/>
        <w:jc w:val="both"/>
        <w:rPr>
          <w:highlight w:val="none"/>
        </w:rPr>
      </w:pPr>
      <w:r>
        <w:rPr>
          <w:rFonts w:ascii="仿宋_GB2312" w:hAnsi="仿宋_GB2312" w:eastAsia="仿宋_GB2312" w:cs="仿宋_GB2312"/>
          <w:highlight w:val="none"/>
        </w:rPr>
        <w:t>2.6“供应商代表”指供应商（供应商为法人或其他组织的）的单位负责人或由其授权的委托代理人，即单位负责人授权书中载明的接受授权方。</w:t>
      </w:r>
    </w:p>
    <w:p w14:paraId="72D7AEB4">
      <w:pPr>
        <w:pStyle w:val="11"/>
        <w:jc w:val="center"/>
        <w:outlineLvl w:val="2"/>
        <w:rPr>
          <w:highlight w:val="none"/>
        </w:rPr>
      </w:pPr>
      <w:r>
        <w:rPr>
          <w:rFonts w:ascii="仿宋_GB2312" w:hAnsi="仿宋_GB2312" w:eastAsia="仿宋_GB2312" w:cs="仿宋_GB2312"/>
          <w:b/>
          <w:sz w:val="28"/>
          <w:highlight w:val="none"/>
        </w:rPr>
        <w:t>二、供应商</w:t>
      </w:r>
    </w:p>
    <w:p w14:paraId="367C5885">
      <w:pPr>
        <w:pStyle w:val="11"/>
        <w:jc w:val="both"/>
        <w:rPr>
          <w:highlight w:val="none"/>
        </w:rPr>
      </w:pPr>
      <w:r>
        <w:rPr>
          <w:rFonts w:ascii="仿宋_GB2312" w:hAnsi="仿宋_GB2312" w:eastAsia="仿宋_GB2312" w:cs="仿宋_GB2312"/>
          <w:highlight w:val="none"/>
        </w:rPr>
        <w:t>3、合格供应商</w:t>
      </w:r>
    </w:p>
    <w:p w14:paraId="40F53AF7">
      <w:pPr>
        <w:pStyle w:val="11"/>
        <w:ind w:firstLine="480"/>
        <w:jc w:val="both"/>
        <w:rPr>
          <w:highlight w:val="none"/>
        </w:rPr>
      </w:pPr>
      <w:r>
        <w:rPr>
          <w:rFonts w:ascii="仿宋_GB2312" w:hAnsi="仿宋_GB2312" w:eastAsia="仿宋_GB2312" w:cs="仿宋_GB2312"/>
          <w:highlight w:val="none"/>
        </w:rPr>
        <w:t>3.1一般规定</w:t>
      </w:r>
    </w:p>
    <w:p w14:paraId="1D0CA3B8">
      <w:pPr>
        <w:pStyle w:val="11"/>
        <w:jc w:val="both"/>
        <w:rPr>
          <w:highlight w:val="none"/>
        </w:rPr>
      </w:pPr>
      <w:r>
        <w:rPr>
          <w:rFonts w:ascii="仿宋_GB2312" w:hAnsi="仿宋_GB2312" w:eastAsia="仿宋_GB2312" w:cs="仿宋_GB2312"/>
          <w:highlight w:val="none"/>
        </w:rPr>
        <w:t>（1）供应商应遵守《中华人民共和国劳动合同法》有关规定和《中华人民共和国妇女权益保障法 》中关于“劳动和社会保障权益”的有关要求以及其他有关法律、法规和规章的强制性规定。</w:t>
      </w:r>
    </w:p>
    <w:p w14:paraId="2DB2C1B2">
      <w:pPr>
        <w:pStyle w:val="11"/>
        <w:ind w:firstLine="400" w:firstLineChars="200"/>
        <w:jc w:val="left"/>
        <w:rPr>
          <w:highlight w:val="none"/>
        </w:rPr>
      </w:pPr>
      <w:r>
        <w:rPr>
          <w:rFonts w:ascii="仿宋_GB2312" w:hAnsi="仿宋_GB2312" w:eastAsia="仿宋_GB2312" w:cs="仿宋_GB2312"/>
          <w:highlight w:val="none"/>
        </w:rPr>
        <w:t>供应商对提供供应商资格承诺函及所承诺事项的真实性、合法性及有效性负责，并已知晓所提供资格承诺函内容不实的，可能涉嫌“提供虚假材料谋取中标成交”违法情形。经调查属实的，处以采购金额千分之五以上千分之十以下的罚款，列入不良行为记录名单，在一至三年内禁止</w:t>
      </w:r>
      <w:r>
        <w:rPr>
          <w:rFonts w:hint="eastAsia" w:ascii="仿宋_GB2312" w:hAnsi="仿宋_GB2312" w:eastAsia="仿宋_GB2312" w:cs="仿宋_GB2312"/>
          <w:highlight w:val="none"/>
          <w:lang w:val="en-US" w:eastAsia="zh-CN"/>
        </w:rPr>
        <w:t>参加国有企业</w:t>
      </w:r>
      <w:r>
        <w:rPr>
          <w:rFonts w:ascii="仿宋_GB2312" w:hAnsi="仿宋_GB2312" w:eastAsia="仿宋_GB2312" w:cs="仿宋_GB2312"/>
          <w:highlight w:val="none"/>
        </w:rPr>
        <w:t>采购活动，有违法所得的，并处没收违法所得，情节严重的，由市场监管部门吊销营业执照，构成犯罪的，依法追究刑事责任”和有关规定处理。</w:t>
      </w:r>
    </w:p>
    <w:p w14:paraId="277E6AEB">
      <w:pPr>
        <w:pStyle w:val="11"/>
        <w:jc w:val="both"/>
        <w:rPr>
          <w:highlight w:val="none"/>
        </w:rPr>
      </w:pPr>
      <w:r>
        <w:rPr>
          <w:rFonts w:ascii="仿宋_GB2312" w:hAnsi="仿宋_GB2312" w:eastAsia="仿宋_GB2312" w:cs="仿宋_GB2312"/>
          <w:highlight w:val="none"/>
        </w:rPr>
        <w:t>（2）供应商的资格要求：详见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第一章。有任一项不满足的，报价无效。</w:t>
      </w:r>
    </w:p>
    <w:p w14:paraId="3CAE1450">
      <w:pPr>
        <w:pStyle w:val="11"/>
        <w:ind w:firstLine="400" w:firstLineChars="200"/>
        <w:jc w:val="both"/>
        <w:rPr>
          <w:highlight w:val="none"/>
        </w:rPr>
      </w:pPr>
      <w:r>
        <w:rPr>
          <w:rFonts w:ascii="仿宋_GB2312" w:hAnsi="仿宋_GB2312" w:eastAsia="仿宋_GB2312" w:cs="仿宋_GB2312"/>
          <w:highlight w:val="none"/>
        </w:rPr>
        <w:t>3.2若本项目接受联合体报价且供应商为联合体，则联合体各方除了应遵守本章第3.1条规定外，还应遵守下列规定：</w:t>
      </w:r>
    </w:p>
    <w:p w14:paraId="36CFBEDD">
      <w:pPr>
        <w:pStyle w:val="11"/>
        <w:jc w:val="both"/>
        <w:rPr>
          <w:highlight w:val="none"/>
        </w:rPr>
      </w:pPr>
      <w:r>
        <w:rPr>
          <w:rFonts w:ascii="仿宋_GB2312" w:hAnsi="仿宋_GB2312" w:eastAsia="仿宋_GB2312" w:cs="仿宋_GB2312"/>
          <w:highlight w:val="none"/>
        </w:rPr>
        <w:t>（1）联合体各方应提交联合体协议，联合体协议应符合</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w:t>
      </w:r>
    </w:p>
    <w:p w14:paraId="7552FBBA">
      <w:pPr>
        <w:pStyle w:val="11"/>
        <w:jc w:val="both"/>
        <w:rPr>
          <w:highlight w:val="none"/>
        </w:rPr>
      </w:pPr>
      <w:r>
        <w:rPr>
          <w:rFonts w:ascii="仿宋_GB2312" w:hAnsi="仿宋_GB2312" w:eastAsia="仿宋_GB2312" w:cs="仿宋_GB2312"/>
          <w:highlight w:val="none"/>
        </w:rPr>
        <w:t>（2）联合体各方不得再单独参加或与其他供应商另外组成联合体参加同一合同项下的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w:t>
      </w:r>
    </w:p>
    <w:p w14:paraId="46B58319">
      <w:pPr>
        <w:pStyle w:val="11"/>
        <w:jc w:val="both"/>
        <w:rPr>
          <w:highlight w:val="none"/>
        </w:rPr>
      </w:pPr>
      <w:r>
        <w:rPr>
          <w:rFonts w:ascii="仿宋_GB2312" w:hAnsi="仿宋_GB2312" w:eastAsia="仿宋_GB2312" w:cs="仿宋_GB2312"/>
          <w:highlight w:val="none"/>
        </w:rPr>
        <w:t>（3）联合体各方应共同与采购人签订采购合同，就采购合同约定的事项对采购人承担连带责任。</w:t>
      </w:r>
    </w:p>
    <w:p w14:paraId="3D1A1682">
      <w:pPr>
        <w:pStyle w:val="11"/>
        <w:jc w:val="left"/>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08714CC">
      <w:pPr>
        <w:pStyle w:val="11"/>
        <w:jc w:val="left"/>
        <w:rPr>
          <w:highlight w:val="none"/>
        </w:rPr>
      </w:pPr>
      <w:r>
        <w:rPr>
          <w:rFonts w:ascii="仿宋_GB2312" w:hAnsi="仿宋_GB2312" w:eastAsia="仿宋_GB2312" w:cs="仿宋_GB2312"/>
          <w:highlight w:val="none"/>
        </w:rPr>
        <w:t>（5）联合体一方放弃成交的，视为联合体整体放弃成交，联合体各方承担连带责任。</w:t>
      </w:r>
    </w:p>
    <w:p w14:paraId="4D001C39">
      <w:pPr>
        <w:pStyle w:val="11"/>
        <w:jc w:val="left"/>
        <w:rPr>
          <w:highlight w:val="none"/>
        </w:rPr>
      </w:pPr>
      <w:r>
        <w:rPr>
          <w:rFonts w:ascii="仿宋_GB2312" w:hAnsi="仿宋_GB2312" w:eastAsia="仿宋_GB2312" w:cs="仿宋_GB2312"/>
          <w:highlight w:val="none"/>
        </w:rPr>
        <w:t>（6）如本项目不接受联合体报价而供应商为联合体的，或者本项目接受联合体报价但供应商组成的联合体不符合本章第3.2条规定的，其报价无效。</w:t>
      </w:r>
    </w:p>
    <w:p w14:paraId="4FC35B04">
      <w:pPr>
        <w:pStyle w:val="11"/>
        <w:ind w:firstLine="400" w:firstLineChars="200"/>
        <w:jc w:val="both"/>
        <w:rPr>
          <w:highlight w:val="none"/>
        </w:rPr>
      </w:pPr>
      <w:r>
        <w:rPr>
          <w:rFonts w:ascii="仿宋_GB2312" w:hAnsi="仿宋_GB2312" w:eastAsia="仿宋_GB2312" w:cs="仿宋_GB2312"/>
          <w:highlight w:val="none"/>
        </w:rPr>
        <w:t>3.3 单位负责人为同一人或存在直接控股、管理关系的不同供应商不得参加同一合同项下的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w:t>
      </w:r>
    </w:p>
    <w:p w14:paraId="76C17788">
      <w:pPr>
        <w:pStyle w:val="11"/>
        <w:ind w:firstLine="400" w:firstLineChars="200"/>
        <w:jc w:val="both"/>
        <w:rPr>
          <w:highlight w:val="none"/>
        </w:rPr>
      </w:pPr>
      <w:r>
        <w:rPr>
          <w:rFonts w:ascii="仿宋_GB2312" w:hAnsi="仿宋_GB2312" w:eastAsia="仿宋_GB2312" w:cs="仿宋_GB2312"/>
          <w:highlight w:val="none"/>
        </w:rPr>
        <w:t>4、</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费用</w:t>
      </w:r>
    </w:p>
    <w:p w14:paraId="17DB7F72">
      <w:pPr>
        <w:pStyle w:val="11"/>
        <w:ind w:firstLine="400" w:firstLineChars="200"/>
        <w:jc w:val="both"/>
        <w:rPr>
          <w:highlight w:val="none"/>
        </w:rPr>
      </w:pPr>
      <w:r>
        <w:rPr>
          <w:rFonts w:ascii="仿宋_GB2312" w:hAnsi="仿宋_GB2312" w:eastAsia="仿宋_GB2312" w:cs="仿宋_GB2312"/>
          <w:highlight w:val="none"/>
        </w:rPr>
        <w:t>4.1除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另有规定外，供应商应自行承担其参加本项目</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所涉及的一切费用。</w:t>
      </w:r>
    </w:p>
    <w:p w14:paraId="5A9B047C">
      <w:pPr>
        <w:pStyle w:val="11"/>
        <w:jc w:val="center"/>
        <w:outlineLvl w:val="2"/>
        <w:rPr>
          <w:highlight w:val="none"/>
        </w:rPr>
      </w:pPr>
      <w:r>
        <w:rPr>
          <w:rFonts w:ascii="仿宋_GB2312" w:hAnsi="仿宋_GB2312" w:eastAsia="仿宋_GB2312" w:cs="仿宋_GB2312"/>
          <w:b/>
          <w:sz w:val="28"/>
          <w:highlight w:val="none"/>
        </w:rPr>
        <w:t>三、</w:t>
      </w:r>
      <w:r>
        <w:rPr>
          <w:rFonts w:hint="eastAsia" w:ascii="仿宋_GB2312" w:hAnsi="仿宋_GB2312" w:eastAsia="仿宋_GB2312" w:cs="仿宋_GB2312"/>
          <w:b/>
          <w:sz w:val="28"/>
          <w:highlight w:val="none"/>
          <w:lang w:eastAsia="zh-CN"/>
        </w:rPr>
        <w:t>询比文件</w:t>
      </w:r>
    </w:p>
    <w:p w14:paraId="7B450BF2">
      <w:pPr>
        <w:pStyle w:val="11"/>
        <w:jc w:val="both"/>
        <w:rPr>
          <w:highlight w:val="none"/>
        </w:rPr>
      </w:pPr>
      <w:r>
        <w:rPr>
          <w:rFonts w:ascii="仿宋_GB2312" w:hAnsi="仿宋_GB2312" w:eastAsia="仿宋_GB2312" w:cs="仿宋_GB2312"/>
          <w:highlight w:val="none"/>
        </w:rPr>
        <w:t>5、</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的组成</w:t>
      </w:r>
    </w:p>
    <w:p w14:paraId="69802FAD">
      <w:pPr>
        <w:pStyle w:val="11"/>
        <w:ind w:firstLine="480"/>
        <w:jc w:val="both"/>
        <w:rPr>
          <w:highlight w:val="none"/>
        </w:rPr>
      </w:pPr>
      <w:r>
        <w:rPr>
          <w:rFonts w:ascii="仿宋_GB2312" w:hAnsi="仿宋_GB2312" w:eastAsia="仿宋_GB2312" w:cs="仿宋_GB2312"/>
          <w:highlight w:val="none"/>
        </w:rPr>
        <w:t>5.1</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由下述部分组成：</w:t>
      </w:r>
    </w:p>
    <w:p w14:paraId="15761EE2">
      <w:pPr>
        <w:pStyle w:val="11"/>
        <w:ind w:firstLine="960"/>
        <w:jc w:val="both"/>
        <w:rPr>
          <w:rFonts w:hint="eastAsia" w:eastAsia="仿宋_GB2312"/>
          <w:highlight w:val="none"/>
          <w:lang w:eastAsia="zh-CN"/>
        </w:rPr>
      </w:pPr>
      <w:r>
        <w:rPr>
          <w:rFonts w:ascii="仿宋_GB2312" w:hAnsi="仿宋_GB2312" w:eastAsia="仿宋_GB2312" w:cs="仿宋_GB2312"/>
          <w:highlight w:val="none"/>
        </w:rPr>
        <w:t xml:space="preserve">第一章 </w:t>
      </w:r>
      <w:r>
        <w:rPr>
          <w:rFonts w:hint="eastAsia" w:ascii="仿宋_GB2312" w:hAnsi="仿宋_GB2312" w:eastAsia="仿宋_GB2312" w:cs="仿宋_GB2312"/>
          <w:highlight w:val="none"/>
          <w:lang w:eastAsia="zh-CN"/>
        </w:rPr>
        <w:t>采购公告</w:t>
      </w:r>
      <w:r>
        <w:rPr>
          <w:rFonts w:ascii="仿宋_GB2312" w:hAnsi="仿宋_GB2312" w:eastAsia="仿宋_GB2312" w:cs="仿宋_GB2312"/>
          <w:highlight w:val="none"/>
        </w:rPr>
        <w:t>/采购</w:t>
      </w:r>
      <w:r>
        <w:rPr>
          <w:rFonts w:hint="eastAsia" w:ascii="仿宋_GB2312" w:hAnsi="仿宋_GB2312" w:eastAsia="仿宋_GB2312" w:cs="仿宋_GB2312"/>
          <w:highlight w:val="none"/>
          <w:lang w:eastAsia="zh-CN"/>
        </w:rPr>
        <w:t>邀请书</w:t>
      </w:r>
    </w:p>
    <w:p w14:paraId="2C4DD893">
      <w:pPr>
        <w:pStyle w:val="11"/>
        <w:ind w:firstLine="960"/>
        <w:jc w:val="both"/>
        <w:rPr>
          <w:highlight w:val="none"/>
        </w:rPr>
      </w:pPr>
      <w:r>
        <w:rPr>
          <w:rFonts w:ascii="仿宋_GB2312" w:hAnsi="仿宋_GB2312" w:eastAsia="仿宋_GB2312" w:cs="仿宋_GB2312"/>
          <w:highlight w:val="none"/>
        </w:rPr>
        <w:t>第二章</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须知</w:t>
      </w:r>
    </w:p>
    <w:p w14:paraId="44ED1CAD">
      <w:pPr>
        <w:pStyle w:val="11"/>
        <w:ind w:firstLine="960"/>
        <w:jc w:val="both"/>
        <w:rPr>
          <w:highlight w:val="none"/>
        </w:rPr>
      </w:pPr>
      <w:r>
        <w:rPr>
          <w:rFonts w:ascii="仿宋_GB2312" w:hAnsi="仿宋_GB2312" w:eastAsia="仿宋_GB2312" w:cs="仿宋_GB2312"/>
          <w:highlight w:val="none"/>
        </w:rPr>
        <w:t>第三章评审</w:t>
      </w:r>
    </w:p>
    <w:p w14:paraId="6817718D">
      <w:pPr>
        <w:pStyle w:val="11"/>
        <w:ind w:firstLine="960"/>
        <w:jc w:val="both"/>
        <w:rPr>
          <w:rFonts w:ascii="仿宋_GB2312" w:hAnsi="仿宋_GB2312" w:eastAsia="仿宋_GB2312" w:cs="仿宋_GB2312"/>
          <w:highlight w:val="none"/>
        </w:rPr>
      </w:pPr>
      <w:r>
        <w:rPr>
          <w:rFonts w:ascii="仿宋_GB2312" w:hAnsi="仿宋_GB2312" w:eastAsia="仿宋_GB2312" w:cs="仿宋_GB2312"/>
          <w:highlight w:val="none"/>
        </w:rPr>
        <w:t>第四章</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内容及要求</w:t>
      </w:r>
    </w:p>
    <w:p w14:paraId="7FB1F61F">
      <w:pPr>
        <w:pStyle w:val="11"/>
        <w:ind w:firstLine="960"/>
        <w:jc w:val="both"/>
        <w:rPr>
          <w:highlight w:val="none"/>
        </w:rPr>
      </w:pPr>
      <w:r>
        <w:rPr>
          <w:rFonts w:ascii="仿宋_GB2312" w:hAnsi="仿宋_GB2312" w:eastAsia="仿宋_GB2312" w:cs="仿宋_GB2312"/>
          <w:highlight w:val="none"/>
        </w:rPr>
        <w:t>第五章</w:t>
      </w:r>
      <w:r>
        <w:rPr>
          <w:rFonts w:hint="eastAsia" w:ascii="仿宋_GB2312" w:hAnsi="仿宋_GB2312" w:eastAsia="仿宋_GB2312" w:cs="仿宋_GB2312"/>
          <w:highlight w:val="none"/>
          <w:lang w:eastAsia="zh-CN"/>
        </w:rPr>
        <w:t>国有企业</w:t>
      </w:r>
      <w:r>
        <w:rPr>
          <w:rFonts w:ascii="仿宋_GB2312" w:hAnsi="仿宋_GB2312" w:eastAsia="仿宋_GB2312" w:cs="仿宋_GB2312"/>
          <w:highlight w:val="none"/>
        </w:rPr>
        <w:t>采购合同</w:t>
      </w:r>
    </w:p>
    <w:p w14:paraId="62B3F8C6">
      <w:pPr>
        <w:pStyle w:val="11"/>
        <w:ind w:firstLine="960"/>
        <w:jc w:val="both"/>
        <w:rPr>
          <w:highlight w:val="none"/>
        </w:rPr>
      </w:pPr>
      <w:r>
        <w:rPr>
          <w:rFonts w:ascii="仿宋_GB2312" w:hAnsi="仿宋_GB2312" w:eastAsia="仿宋_GB2312" w:cs="仿宋_GB2312"/>
          <w:highlight w:val="none"/>
        </w:rPr>
        <w:t>第六章响应文件格式</w:t>
      </w:r>
    </w:p>
    <w:p w14:paraId="5AA9F508">
      <w:pPr>
        <w:pStyle w:val="11"/>
        <w:ind w:firstLine="960"/>
        <w:jc w:val="both"/>
        <w:rPr>
          <w:highlight w:val="none"/>
        </w:rPr>
      </w:pPr>
      <w:r>
        <w:rPr>
          <w:rFonts w:ascii="仿宋_GB2312" w:hAnsi="仿宋_GB2312" w:eastAsia="仿宋_GB2312" w:cs="仿宋_GB2312"/>
          <w:highlight w:val="none"/>
        </w:rPr>
        <w:t>5.2</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的澄清或修改</w:t>
      </w:r>
    </w:p>
    <w:p w14:paraId="449D12A8">
      <w:pPr>
        <w:pStyle w:val="11"/>
        <w:ind w:firstLine="480"/>
        <w:jc w:val="both"/>
        <w:rPr>
          <w:highlight w:val="none"/>
        </w:rPr>
      </w:pPr>
      <w:r>
        <w:rPr>
          <w:rFonts w:ascii="仿宋_GB2312" w:hAnsi="仿宋_GB2312" w:eastAsia="仿宋_GB2312" w:cs="仿宋_GB2312"/>
          <w:highlight w:val="none"/>
        </w:rPr>
        <w:t>（1）采购代理机构可对已发出的</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进行必要的澄清或修改。</w:t>
      </w:r>
    </w:p>
    <w:p w14:paraId="17900845">
      <w:pPr>
        <w:pStyle w:val="11"/>
        <w:ind w:firstLine="480"/>
        <w:jc w:val="both"/>
        <w:rPr>
          <w:highlight w:val="none"/>
        </w:rPr>
      </w:pPr>
      <w:r>
        <w:rPr>
          <w:rFonts w:ascii="仿宋_GB2312" w:hAnsi="仿宋_GB2312" w:eastAsia="仿宋_GB2312" w:cs="仿宋_GB2312"/>
          <w:highlight w:val="none"/>
        </w:rPr>
        <w:t>（2）澄清或修改的内容可能影响响应文件编制的，采购代理机构将在提交响应文件截止时间至少3个工作日前，在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载明的指定媒体以更正公告的形式发布澄清或修改的内容。不足3个工作日的，采购代理机构将对提交响应文件截止时间及</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时间进行相应顺延，采购代理机构和供应商受原提交响应文件截止时间及</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时间制约的所有权利和义务均延长至新的提交响应文件截止时间及</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时间。</w:t>
      </w:r>
    </w:p>
    <w:p w14:paraId="268576CC">
      <w:pPr>
        <w:pStyle w:val="11"/>
        <w:jc w:val="both"/>
        <w:rPr>
          <w:highlight w:val="none"/>
        </w:rPr>
      </w:pPr>
      <w:r>
        <w:rPr>
          <w:rFonts w:ascii="仿宋_GB2312" w:hAnsi="仿宋_GB2312" w:eastAsia="仿宋_GB2312" w:cs="仿宋_GB2312"/>
          <w:highlight w:val="none"/>
        </w:rPr>
        <w:t>6、更正公告</w:t>
      </w:r>
    </w:p>
    <w:p w14:paraId="41267EF2">
      <w:pPr>
        <w:pStyle w:val="11"/>
        <w:ind w:firstLine="480"/>
        <w:jc w:val="both"/>
        <w:rPr>
          <w:highlight w:val="none"/>
        </w:rPr>
      </w:pPr>
      <w:r>
        <w:rPr>
          <w:rFonts w:ascii="仿宋_GB2312" w:hAnsi="仿宋_GB2312" w:eastAsia="仿宋_GB2312" w:cs="仿宋_GB2312"/>
          <w:highlight w:val="none"/>
        </w:rPr>
        <w:t>6.1若采购代理机构发布更正公告，则更正公告及其所发布的内容或信息（包括但不限于</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的澄清或修改等）作为</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组成部分，对供应商具有约束力。</w:t>
      </w:r>
    </w:p>
    <w:p w14:paraId="5F718A8B">
      <w:pPr>
        <w:pStyle w:val="11"/>
        <w:ind w:firstLine="480"/>
        <w:jc w:val="both"/>
        <w:rPr>
          <w:highlight w:val="none"/>
        </w:rPr>
      </w:pPr>
      <w:r>
        <w:rPr>
          <w:rFonts w:ascii="仿宋_GB2312" w:hAnsi="仿宋_GB2312" w:eastAsia="仿宋_GB2312" w:cs="仿宋_GB2312"/>
          <w:highlight w:val="none"/>
        </w:rPr>
        <w:t>6.2更正公告作为采购代理机构通知所有潜在供应商的书面形式，潜在供应商务必随时关注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载明的指定媒体，以免遗漏。</w:t>
      </w:r>
    </w:p>
    <w:p w14:paraId="13BFD969">
      <w:pPr>
        <w:pStyle w:val="11"/>
        <w:jc w:val="center"/>
        <w:outlineLvl w:val="2"/>
        <w:rPr>
          <w:highlight w:val="none"/>
        </w:rPr>
      </w:pPr>
      <w:r>
        <w:rPr>
          <w:rFonts w:ascii="仿宋_GB2312" w:hAnsi="仿宋_GB2312" w:eastAsia="仿宋_GB2312" w:cs="仿宋_GB2312"/>
          <w:b/>
          <w:sz w:val="28"/>
          <w:highlight w:val="none"/>
        </w:rPr>
        <w:t>四、响应文件的编制</w:t>
      </w:r>
    </w:p>
    <w:p w14:paraId="4F8756C2">
      <w:pPr>
        <w:pStyle w:val="11"/>
        <w:jc w:val="both"/>
        <w:rPr>
          <w:highlight w:val="none"/>
        </w:rPr>
      </w:pPr>
      <w:r>
        <w:rPr>
          <w:rFonts w:ascii="仿宋_GB2312" w:hAnsi="仿宋_GB2312" w:eastAsia="仿宋_GB2312" w:cs="仿宋_GB2312"/>
          <w:highlight w:val="none"/>
        </w:rPr>
        <w:t>7、</w:t>
      </w:r>
      <w:r>
        <w:rPr>
          <w:rFonts w:hint="eastAsia" w:ascii="仿宋_GB2312" w:hAnsi="仿宋_GB2312" w:eastAsia="仿宋_GB2312" w:cs="仿宋_GB2312"/>
          <w:highlight w:val="none"/>
          <w:lang w:eastAsia="zh-CN"/>
        </w:rPr>
        <w:t>报价</w:t>
      </w:r>
      <w:r>
        <w:rPr>
          <w:rFonts w:ascii="仿宋_GB2312" w:hAnsi="仿宋_GB2312" w:eastAsia="仿宋_GB2312" w:cs="仿宋_GB2312"/>
          <w:highlight w:val="none"/>
        </w:rPr>
        <w:t>要求</w:t>
      </w:r>
    </w:p>
    <w:p w14:paraId="37AC397C">
      <w:pPr>
        <w:pStyle w:val="11"/>
        <w:ind w:firstLine="480"/>
        <w:jc w:val="both"/>
        <w:rPr>
          <w:highlight w:val="none"/>
        </w:rPr>
      </w:pPr>
      <w:r>
        <w:rPr>
          <w:rFonts w:ascii="仿宋_GB2312" w:hAnsi="仿宋_GB2312" w:eastAsia="仿宋_GB2312" w:cs="仿宋_GB2312"/>
          <w:highlight w:val="none"/>
        </w:rPr>
        <w:t>7.1供应商可对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载明的全部或部分采购包进行</w:t>
      </w:r>
      <w:r>
        <w:rPr>
          <w:rFonts w:hint="eastAsia" w:ascii="仿宋_GB2312" w:hAnsi="仿宋_GB2312" w:eastAsia="仿宋_GB2312" w:cs="仿宋_GB2312"/>
          <w:highlight w:val="none"/>
          <w:lang w:eastAsia="zh-CN"/>
        </w:rPr>
        <w:t>报价</w:t>
      </w:r>
      <w:r>
        <w:rPr>
          <w:rFonts w:ascii="仿宋_GB2312" w:hAnsi="仿宋_GB2312" w:eastAsia="仿宋_GB2312" w:cs="仿宋_GB2312"/>
          <w:highlight w:val="none"/>
        </w:rPr>
        <w:t>。</w:t>
      </w:r>
    </w:p>
    <w:p w14:paraId="5402AD55">
      <w:pPr>
        <w:pStyle w:val="11"/>
        <w:ind w:firstLine="480"/>
        <w:jc w:val="both"/>
        <w:rPr>
          <w:highlight w:val="none"/>
        </w:rPr>
      </w:pPr>
      <w:r>
        <w:rPr>
          <w:rFonts w:ascii="仿宋_GB2312" w:hAnsi="仿宋_GB2312" w:eastAsia="仿宋_GB2312" w:cs="仿宋_GB2312"/>
          <w:highlight w:val="none"/>
        </w:rPr>
        <w:t>7.2下列情形之一供应商报价无效</w:t>
      </w:r>
    </w:p>
    <w:p w14:paraId="5B500092">
      <w:pPr>
        <w:pStyle w:val="11"/>
        <w:ind w:firstLine="480"/>
        <w:jc w:val="both"/>
        <w:rPr>
          <w:highlight w:val="none"/>
        </w:rPr>
      </w:pPr>
      <w:r>
        <w:rPr>
          <w:rFonts w:ascii="仿宋_GB2312" w:hAnsi="仿宋_GB2312" w:eastAsia="仿宋_GB2312" w:cs="仿宋_GB2312"/>
          <w:highlight w:val="none"/>
        </w:rPr>
        <w:t>（1）报价时，同一个采购包内所有品目号的内容应完整，否则报价无效。</w:t>
      </w:r>
    </w:p>
    <w:p w14:paraId="2A2AEC7A">
      <w:pPr>
        <w:pStyle w:val="11"/>
        <w:ind w:firstLine="480"/>
        <w:jc w:val="both"/>
        <w:rPr>
          <w:highlight w:val="none"/>
        </w:rPr>
      </w:pPr>
      <w:r>
        <w:rPr>
          <w:rFonts w:ascii="仿宋_GB2312" w:hAnsi="仿宋_GB2312" w:eastAsia="仿宋_GB2312" w:cs="仿宋_GB2312"/>
          <w:highlight w:val="none"/>
        </w:rPr>
        <w:t>（2）供应商代表只能接受一个供应商的授权参加报价，否则报价无效。</w:t>
      </w:r>
    </w:p>
    <w:p w14:paraId="34A0F1C2">
      <w:pPr>
        <w:pStyle w:val="11"/>
        <w:ind w:firstLine="480"/>
        <w:jc w:val="both"/>
        <w:rPr>
          <w:highlight w:val="none"/>
        </w:rPr>
      </w:pPr>
      <w:r>
        <w:rPr>
          <w:rFonts w:ascii="仿宋_GB2312" w:hAnsi="仿宋_GB2312" w:eastAsia="仿宋_GB2312" w:cs="仿宋_GB2312"/>
          <w:highlight w:val="none"/>
        </w:rPr>
        <w:t>（3）单位负责人为同一人或存在直接控股、管理关系的不同供应商，不得同时参加同一合同项下的报价，否则报价无效。</w:t>
      </w:r>
    </w:p>
    <w:p w14:paraId="6A410EC8">
      <w:pPr>
        <w:pStyle w:val="11"/>
        <w:ind w:firstLine="480"/>
        <w:jc w:val="both"/>
        <w:rPr>
          <w:highlight w:val="none"/>
        </w:rPr>
      </w:pPr>
      <w:r>
        <w:rPr>
          <w:rFonts w:ascii="仿宋_GB2312" w:hAnsi="仿宋_GB2312" w:eastAsia="仿宋_GB2312" w:cs="仿宋_GB2312"/>
          <w:highlight w:val="none"/>
        </w:rPr>
        <w:t>（4）</w:t>
      </w:r>
      <w:r>
        <w:rPr>
          <w:rFonts w:hint="eastAsia" w:ascii="仿宋_GB2312" w:hAnsi="仿宋_GB2312" w:eastAsia="仿宋_GB2312" w:cs="仿宋_GB2312"/>
          <w:highlight w:val="none"/>
          <w:lang w:eastAsia="zh-CN"/>
        </w:rPr>
        <w:t>失信被执行人、重大税收违法失信主体名单、严重失信主体名单</w:t>
      </w:r>
      <w:r>
        <w:rPr>
          <w:rFonts w:ascii="仿宋_GB2312" w:hAnsi="仿宋_GB2312" w:eastAsia="仿宋_GB2312" w:cs="仿宋_GB2312"/>
          <w:highlight w:val="none"/>
        </w:rPr>
        <w:t>及其他不符合</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规定条件的供应商，不得参加报价，否则报价无效。</w:t>
      </w:r>
    </w:p>
    <w:p w14:paraId="2AB5B39C">
      <w:pPr>
        <w:pStyle w:val="11"/>
        <w:ind w:firstLine="480"/>
        <w:jc w:val="both"/>
        <w:rPr>
          <w:highlight w:val="none"/>
        </w:rPr>
      </w:pP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）报价超出最高限价将导致报价无效。</w:t>
      </w:r>
    </w:p>
    <w:p w14:paraId="7FFAB155">
      <w:pPr>
        <w:pStyle w:val="11"/>
        <w:ind w:firstLine="480"/>
        <w:jc w:val="both"/>
        <w:rPr>
          <w:highlight w:val="none"/>
        </w:rPr>
      </w:pP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另有规定外，响应文件不能出现任何选择性的报价，即每一个采购包和品目号的采购标的都只能有一个报价。任何选择性的报价将导致报价无效。</w:t>
      </w:r>
    </w:p>
    <w:p w14:paraId="425C2A23">
      <w:pPr>
        <w:pStyle w:val="11"/>
        <w:jc w:val="both"/>
        <w:rPr>
          <w:highlight w:val="none"/>
        </w:rPr>
      </w:pPr>
      <w:r>
        <w:rPr>
          <w:rFonts w:ascii="仿宋_GB2312" w:hAnsi="仿宋_GB2312" w:eastAsia="仿宋_GB2312" w:cs="仿宋_GB2312"/>
          <w:highlight w:val="none"/>
        </w:rPr>
        <w:t>8</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供应商有下列情形之一的，视为恶意串通</w:t>
      </w:r>
      <w:r>
        <w:rPr>
          <w:rFonts w:hint="eastAsia" w:ascii="仿宋_GB2312" w:hAnsi="仿宋_GB2312" w:eastAsia="仿宋_GB2312" w:cs="仿宋_GB2312"/>
          <w:highlight w:val="none"/>
          <w:lang w:eastAsia="zh-CN"/>
        </w:rPr>
        <w:t>行为</w:t>
      </w:r>
      <w:r>
        <w:rPr>
          <w:rFonts w:ascii="仿宋_GB2312" w:hAnsi="仿宋_GB2312" w:eastAsia="仿宋_GB2312" w:cs="仿宋_GB2312"/>
          <w:highlight w:val="none"/>
        </w:rPr>
        <w:t>：</w:t>
      </w:r>
    </w:p>
    <w:p w14:paraId="15A0353D">
      <w:pPr>
        <w:pStyle w:val="11"/>
        <w:ind w:firstLine="480"/>
        <w:jc w:val="both"/>
        <w:rPr>
          <w:highlight w:val="none"/>
        </w:rPr>
      </w:pPr>
      <w:r>
        <w:rPr>
          <w:rFonts w:ascii="仿宋_GB2312" w:hAnsi="仿宋_GB2312" w:eastAsia="仿宋_GB2312" w:cs="仿宋_GB2312"/>
          <w:highlight w:val="none"/>
        </w:rPr>
        <w:t>（1）不同供应商的响应文件由同一单位或个人编制；</w:t>
      </w:r>
    </w:p>
    <w:p w14:paraId="3D0F6DD1">
      <w:pPr>
        <w:pStyle w:val="11"/>
        <w:ind w:firstLine="480"/>
        <w:jc w:val="both"/>
        <w:rPr>
          <w:highlight w:val="none"/>
        </w:rPr>
      </w:pPr>
      <w:r>
        <w:rPr>
          <w:rFonts w:ascii="仿宋_GB2312" w:hAnsi="仿宋_GB2312" w:eastAsia="仿宋_GB2312" w:cs="仿宋_GB2312"/>
          <w:highlight w:val="none"/>
        </w:rPr>
        <w:t>（2）不同供应商委托同一单位或个人办理</w:t>
      </w:r>
      <w:r>
        <w:rPr>
          <w:rFonts w:hint="eastAsia" w:ascii="仿宋_GB2312" w:hAnsi="仿宋_GB2312" w:eastAsia="仿宋_GB2312" w:cs="仿宋_GB2312"/>
          <w:highlight w:val="none"/>
          <w:lang w:val="en-US" w:eastAsia="zh-CN"/>
        </w:rPr>
        <w:t>响应或报价</w:t>
      </w:r>
      <w:r>
        <w:rPr>
          <w:rFonts w:ascii="仿宋_GB2312" w:hAnsi="仿宋_GB2312" w:eastAsia="仿宋_GB2312" w:cs="仿宋_GB2312"/>
          <w:highlight w:val="none"/>
        </w:rPr>
        <w:t>事宜；</w:t>
      </w:r>
    </w:p>
    <w:p w14:paraId="7D5F8E42">
      <w:pPr>
        <w:pStyle w:val="11"/>
        <w:ind w:firstLine="480"/>
        <w:jc w:val="both"/>
        <w:rPr>
          <w:highlight w:val="none"/>
        </w:rPr>
      </w:pPr>
      <w:r>
        <w:rPr>
          <w:rFonts w:ascii="仿宋_GB2312" w:hAnsi="仿宋_GB2312" w:eastAsia="仿宋_GB2312" w:cs="仿宋_GB2312"/>
          <w:highlight w:val="none"/>
        </w:rPr>
        <w:t>（3）不同供应商的响应文件载明的项目管理成员为同一人；</w:t>
      </w:r>
    </w:p>
    <w:p w14:paraId="0FB41AA2">
      <w:pPr>
        <w:pStyle w:val="11"/>
        <w:ind w:firstLine="480"/>
        <w:jc w:val="both"/>
        <w:rPr>
          <w:highlight w:val="none"/>
        </w:rPr>
      </w:pPr>
      <w:r>
        <w:rPr>
          <w:rFonts w:ascii="仿宋_GB2312" w:hAnsi="仿宋_GB2312" w:eastAsia="仿宋_GB2312" w:cs="仿宋_GB2312"/>
          <w:highlight w:val="none"/>
        </w:rPr>
        <w:t>（4）不同供应商的响应文件异常一致或报价呈规律性差异；</w:t>
      </w:r>
    </w:p>
    <w:p w14:paraId="2D9EA1D8">
      <w:pPr>
        <w:pStyle w:val="11"/>
        <w:ind w:firstLine="480"/>
        <w:jc w:val="both"/>
        <w:rPr>
          <w:highlight w:val="none"/>
        </w:rPr>
      </w:pPr>
      <w:r>
        <w:rPr>
          <w:rFonts w:ascii="仿宋_GB2312" w:hAnsi="仿宋_GB2312" w:eastAsia="仿宋_GB2312" w:cs="仿宋_GB2312"/>
          <w:highlight w:val="none"/>
        </w:rPr>
        <w:t>（5）不同供应商的响应文件相互混装；</w:t>
      </w:r>
    </w:p>
    <w:p w14:paraId="370C278D">
      <w:pPr>
        <w:pStyle w:val="11"/>
        <w:ind w:firstLine="480"/>
        <w:jc w:val="both"/>
        <w:rPr>
          <w:highlight w:val="none"/>
        </w:rPr>
      </w:pPr>
      <w:r>
        <w:rPr>
          <w:rFonts w:ascii="仿宋_GB2312" w:hAnsi="仿宋_GB2312" w:eastAsia="仿宋_GB2312" w:cs="仿宋_GB2312"/>
          <w:highlight w:val="none"/>
        </w:rPr>
        <w:t>（6）不同供应商的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保证金从同一单位或个人的账户转出；</w:t>
      </w:r>
    </w:p>
    <w:p w14:paraId="50DF46CA">
      <w:pPr>
        <w:pStyle w:val="11"/>
        <w:ind w:firstLine="480"/>
        <w:jc w:val="both"/>
        <w:rPr>
          <w:highlight w:val="none"/>
        </w:rPr>
      </w:pPr>
      <w:r>
        <w:rPr>
          <w:rFonts w:ascii="仿宋_GB2312" w:hAnsi="仿宋_GB2312" w:eastAsia="仿宋_GB2312" w:cs="仿宋_GB2312"/>
          <w:highlight w:val="none"/>
        </w:rPr>
        <w:t>（7）有关法律、法规和规章规定的其他串通</w:t>
      </w:r>
      <w:r>
        <w:rPr>
          <w:rFonts w:hint="eastAsia" w:ascii="仿宋_GB2312" w:hAnsi="仿宋_GB2312" w:eastAsia="仿宋_GB2312" w:cs="仿宋_GB2312"/>
          <w:highlight w:val="none"/>
          <w:lang w:eastAsia="zh-CN"/>
        </w:rPr>
        <w:t>行为</w:t>
      </w:r>
      <w:r>
        <w:rPr>
          <w:rFonts w:ascii="仿宋_GB2312" w:hAnsi="仿宋_GB2312" w:eastAsia="仿宋_GB2312" w:cs="仿宋_GB2312"/>
          <w:highlight w:val="none"/>
        </w:rPr>
        <w:t>情形。</w:t>
      </w:r>
    </w:p>
    <w:p w14:paraId="37C6C0FC">
      <w:pPr>
        <w:pStyle w:val="11"/>
        <w:jc w:val="both"/>
        <w:rPr>
          <w:highlight w:val="none"/>
        </w:rPr>
      </w:pPr>
      <w:r>
        <w:rPr>
          <w:rFonts w:ascii="仿宋_GB2312" w:hAnsi="仿宋_GB2312" w:eastAsia="仿宋_GB2312" w:cs="仿宋_GB2312"/>
          <w:highlight w:val="none"/>
        </w:rPr>
        <w:t>9、编制要求</w:t>
      </w:r>
    </w:p>
    <w:p w14:paraId="347467F1">
      <w:pPr>
        <w:pStyle w:val="11"/>
        <w:ind w:firstLine="480"/>
        <w:jc w:val="both"/>
        <w:rPr>
          <w:highlight w:val="none"/>
        </w:rPr>
      </w:pPr>
      <w:r>
        <w:rPr>
          <w:rFonts w:ascii="仿宋_GB2312" w:hAnsi="仿宋_GB2312" w:eastAsia="仿宋_GB2312" w:cs="仿宋_GB2312"/>
          <w:highlight w:val="none"/>
        </w:rPr>
        <w:t>9.1响应文件的编制</w:t>
      </w:r>
    </w:p>
    <w:p w14:paraId="64112227">
      <w:pPr>
        <w:pStyle w:val="11"/>
        <w:ind w:firstLine="480"/>
        <w:jc w:val="both"/>
        <w:rPr>
          <w:highlight w:val="none"/>
        </w:rPr>
      </w:pPr>
      <w:r>
        <w:rPr>
          <w:rFonts w:ascii="仿宋_GB2312" w:hAnsi="仿宋_GB2312" w:eastAsia="仿宋_GB2312" w:cs="仿宋_GB2312"/>
          <w:highlight w:val="none"/>
        </w:rPr>
        <w:t>（1）供应商应先仔细阅读</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的全部内容后，再进行响应文件的编制。</w:t>
      </w:r>
    </w:p>
    <w:p w14:paraId="5EF8164A">
      <w:pPr>
        <w:pStyle w:val="11"/>
        <w:ind w:firstLine="480"/>
        <w:jc w:val="both"/>
        <w:rPr>
          <w:highlight w:val="none"/>
        </w:rPr>
      </w:pPr>
      <w:r>
        <w:rPr>
          <w:rFonts w:ascii="仿宋_GB2312" w:hAnsi="仿宋_GB2312" w:eastAsia="仿宋_GB2312" w:cs="仿宋_GB2312"/>
          <w:highlight w:val="none"/>
        </w:rPr>
        <w:t>（2）响应文件应按照本章第9.2条规定编制其组成部分。</w:t>
      </w:r>
    </w:p>
    <w:p w14:paraId="35429734">
      <w:pPr>
        <w:pStyle w:val="11"/>
        <w:ind w:firstLine="480"/>
        <w:jc w:val="both"/>
        <w:rPr>
          <w:highlight w:val="none"/>
        </w:rPr>
      </w:pPr>
      <w:r>
        <w:rPr>
          <w:rFonts w:ascii="仿宋_GB2312" w:hAnsi="仿宋_GB2312" w:eastAsia="仿宋_GB2312" w:cs="仿宋_GB2312"/>
          <w:highlight w:val="none"/>
        </w:rPr>
        <w:t>（3）响应文件应满足</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提出的实质性要求和条件，并保证其所提交的全部资料是不可割离且真实、合法、有效、准确、完整和不具有任何误导性的，否则造成不利后果由供应商承担法律责任。</w:t>
      </w:r>
    </w:p>
    <w:p w14:paraId="559F37C2">
      <w:pPr>
        <w:pStyle w:val="11"/>
        <w:ind w:firstLine="480"/>
        <w:jc w:val="both"/>
        <w:rPr>
          <w:highlight w:val="none"/>
        </w:rPr>
      </w:pPr>
      <w:r>
        <w:rPr>
          <w:rFonts w:ascii="仿宋_GB2312" w:hAnsi="仿宋_GB2312" w:eastAsia="仿宋_GB2312" w:cs="仿宋_GB2312"/>
          <w:highlight w:val="none"/>
        </w:rPr>
        <w:t>9.2响应文件由下述部分组成,但不限于下列内容：</w:t>
      </w:r>
    </w:p>
    <w:p w14:paraId="0C564AC7">
      <w:pPr>
        <w:pStyle w:val="11"/>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响应声明</w:t>
      </w:r>
    </w:p>
    <w:p w14:paraId="785A9607">
      <w:pPr>
        <w:pStyle w:val="11"/>
        <w:ind w:firstLine="480"/>
        <w:jc w:val="both"/>
        <w:rPr>
          <w:highlight w:val="none"/>
        </w:rPr>
      </w:pPr>
      <w:r>
        <w:rPr>
          <w:rFonts w:ascii="仿宋_GB2312" w:hAnsi="仿宋_GB2312" w:eastAsia="仿宋_GB2312" w:cs="仿宋_GB2312"/>
          <w:highlight w:val="none"/>
        </w:rPr>
        <w:t>（2）报价一览表</w:t>
      </w:r>
    </w:p>
    <w:p w14:paraId="1A433DEF">
      <w:pPr>
        <w:pStyle w:val="11"/>
        <w:ind w:firstLine="480"/>
        <w:jc w:val="both"/>
        <w:rPr>
          <w:highlight w:val="none"/>
        </w:rPr>
      </w:pPr>
      <w:r>
        <w:rPr>
          <w:rFonts w:ascii="仿宋_GB2312" w:hAnsi="仿宋_GB2312" w:eastAsia="仿宋_GB2312" w:cs="仿宋_GB2312"/>
          <w:highlight w:val="none"/>
        </w:rPr>
        <w:t>（3）响应报价明细表</w:t>
      </w:r>
    </w:p>
    <w:p w14:paraId="5CB86163">
      <w:pPr>
        <w:pStyle w:val="11"/>
        <w:ind w:firstLine="480"/>
        <w:jc w:val="both"/>
        <w:rPr>
          <w:highlight w:val="none"/>
        </w:rPr>
      </w:pPr>
      <w:r>
        <w:rPr>
          <w:rFonts w:ascii="仿宋_GB2312" w:hAnsi="仿宋_GB2312" w:eastAsia="仿宋_GB2312" w:cs="仿宋_GB2312"/>
          <w:highlight w:val="none"/>
        </w:rPr>
        <w:t>（4）技术和服务要求响应表</w:t>
      </w:r>
    </w:p>
    <w:p w14:paraId="31E38033">
      <w:pPr>
        <w:pStyle w:val="11"/>
        <w:ind w:firstLine="480"/>
        <w:jc w:val="both"/>
        <w:rPr>
          <w:highlight w:val="none"/>
        </w:rPr>
      </w:pPr>
      <w:r>
        <w:rPr>
          <w:rFonts w:ascii="仿宋_GB2312" w:hAnsi="仿宋_GB2312" w:eastAsia="仿宋_GB2312" w:cs="仿宋_GB2312"/>
          <w:highlight w:val="none"/>
        </w:rPr>
        <w:t>（5）商务条件响应表</w:t>
      </w:r>
    </w:p>
    <w:p w14:paraId="355C997A">
      <w:pPr>
        <w:pStyle w:val="11"/>
        <w:ind w:firstLine="480"/>
        <w:jc w:val="both"/>
        <w:rPr>
          <w:highlight w:val="none"/>
        </w:rPr>
      </w:pPr>
      <w:r>
        <w:rPr>
          <w:rFonts w:ascii="仿宋_GB2312" w:hAnsi="仿宋_GB2312" w:eastAsia="仿宋_GB2312" w:cs="仿宋_GB2312"/>
          <w:highlight w:val="none"/>
        </w:rPr>
        <w:t>（6）供应商的资格及资信证明文件</w:t>
      </w:r>
    </w:p>
    <w:p w14:paraId="422AC3E9">
      <w:pPr>
        <w:pStyle w:val="11"/>
        <w:ind w:firstLine="480"/>
        <w:jc w:val="both"/>
        <w:rPr>
          <w:highlight w:val="none"/>
        </w:rPr>
      </w:pPr>
      <w:r>
        <w:rPr>
          <w:rFonts w:ascii="仿宋_GB2312" w:hAnsi="仿宋_GB2312" w:eastAsia="仿宋_GB2312" w:cs="仿宋_GB2312"/>
          <w:highlight w:val="none"/>
        </w:rPr>
        <w:t>（7）</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w:t>
      </w:r>
    </w:p>
    <w:p w14:paraId="03B78E26">
      <w:pPr>
        <w:pStyle w:val="11"/>
        <w:ind w:firstLine="480"/>
        <w:jc w:val="both"/>
        <w:rPr>
          <w:highlight w:val="none"/>
        </w:rPr>
      </w:pPr>
      <w:r>
        <w:rPr>
          <w:rFonts w:ascii="仿宋_GB2312" w:hAnsi="仿宋_GB2312" w:eastAsia="仿宋_GB2312" w:cs="仿宋_GB2312"/>
          <w:highlight w:val="none"/>
        </w:rPr>
        <w:t>（8）供应商提交的其他资料（若有）</w:t>
      </w:r>
    </w:p>
    <w:p w14:paraId="1F54C551">
      <w:pPr>
        <w:pStyle w:val="11"/>
        <w:ind w:firstLine="480"/>
        <w:jc w:val="both"/>
        <w:rPr>
          <w:highlight w:val="none"/>
        </w:rPr>
      </w:pPr>
      <w:r>
        <w:rPr>
          <w:rFonts w:ascii="仿宋_GB2312" w:hAnsi="仿宋_GB2312" w:eastAsia="仿宋_GB2312" w:cs="仿宋_GB2312"/>
          <w:highlight w:val="none"/>
        </w:rPr>
        <w:t>（9）按照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规定作为响应文件组成部分的其他内容（若有）</w:t>
      </w:r>
    </w:p>
    <w:p w14:paraId="6FA7F82C">
      <w:pPr>
        <w:pStyle w:val="11"/>
        <w:ind w:firstLine="480"/>
        <w:jc w:val="both"/>
        <w:rPr>
          <w:highlight w:val="none"/>
        </w:rPr>
      </w:pPr>
      <w:r>
        <w:rPr>
          <w:rFonts w:ascii="仿宋_GB2312" w:hAnsi="仿宋_GB2312" w:eastAsia="仿宋_GB2312" w:cs="仿宋_GB2312"/>
          <w:highlight w:val="none"/>
        </w:rPr>
        <w:t>9.3响应文件的语言</w:t>
      </w:r>
    </w:p>
    <w:p w14:paraId="2B97E397">
      <w:pPr>
        <w:pStyle w:val="11"/>
        <w:ind w:firstLine="480"/>
        <w:jc w:val="both"/>
        <w:rPr>
          <w:highlight w:val="none"/>
        </w:rPr>
      </w:pPr>
      <w:r>
        <w:rPr>
          <w:rFonts w:ascii="仿宋_GB2312" w:hAnsi="仿宋_GB2312" w:eastAsia="仿宋_GB2312" w:cs="仿宋_GB2312"/>
          <w:highlight w:val="none"/>
        </w:rPr>
        <w:t>（1）除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另有规定外，响应文件应使用中文文本，若有不同文本，以中文文本为准。</w:t>
      </w:r>
    </w:p>
    <w:p w14:paraId="5DAC6A3B">
      <w:pPr>
        <w:pStyle w:val="11"/>
        <w:ind w:firstLine="480"/>
        <w:jc w:val="both"/>
        <w:rPr>
          <w:highlight w:val="none"/>
        </w:rPr>
      </w:pPr>
      <w:r>
        <w:rPr>
          <w:rFonts w:ascii="仿宋_GB2312" w:hAnsi="仿宋_GB2312" w:eastAsia="仿宋_GB2312" w:cs="仿宋_GB2312"/>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15BA686">
      <w:pPr>
        <w:pStyle w:val="11"/>
        <w:ind w:firstLine="480"/>
        <w:jc w:val="both"/>
        <w:rPr>
          <w:highlight w:val="none"/>
        </w:rPr>
      </w:pPr>
      <w:r>
        <w:rPr>
          <w:rFonts w:ascii="仿宋_GB2312" w:hAnsi="仿宋_GB2312" w:eastAsia="仿宋_GB2312" w:cs="仿宋_GB2312"/>
          <w:highlight w:val="none"/>
        </w:rPr>
        <w:t>9.4响应文件的份数：详见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5CFEEAA2">
      <w:pPr>
        <w:pStyle w:val="11"/>
        <w:ind w:firstLine="480"/>
        <w:jc w:val="both"/>
        <w:rPr>
          <w:highlight w:val="none"/>
        </w:rPr>
      </w:pPr>
      <w:r>
        <w:rPr>
          <w:rFonts w:ascii="仿宋_GB2312" w:hAnsi="仿宋_GB2312" w:eastAsia="仿宋_GB2312" w:cs="仿宋_GB2312"/>
          <w:highlight w:val="none"/>
        </w:rPr>
        <w:t>9.5响应文件的格式</w:t>
      </w:r>
    </w:p>
    <w:p w14:paraId="3A5023DC">
      <w:pPr>
        <w:pStyle w:val="11"/>
        <w:ind w:firstLine="480"/>
        <w:jc w:val="both"/>
        <w:rPr>
          <w:highlight w:val="none"/>
        </w:rPr>
      </w:pPr>
      <w:r>
        <w:rPr>
          <w:rFonts w:ascii="仿宋_GB2312" w:hAnsi="仿宋_GB2312" w:eastAsia="仿宋_GB2312" w:cs="仿宋_GB2312"/>
          <w:highlight w:val="none"/>
        </w:rPr>
        <w:t>（1）除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另有规定外，响应文件应使用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第六章规定的格式。</w:t>
      </w:r>
    </w:p>
    <w:p w14:paraId="71EA2431">
      <w:pPr>
        <w:pStyle w:val="11"/>
        <w:ind w:firstLine="480"/>
        <w:jc w:val="both"/>
        <w:rPr>
          <w:highlight w:val="none"/>
        </w:rPr>
      </w:pPr>
      <w:r>
        <w:rPr>
          <w:rFonts w:ascii="仿宋_GB2312" w:hAnsi="仿宋_GB2312" w:eastAsia="仿宋_GB2312" w:cs="仿宋_GB2312"/>
          <w:highlight w:val="none"/>
        </w:rPr>
        <w:t>（2）除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另有规定外，响应文件的正本和全部副本均应使用不能擦去的墨料或墨水打印、书写或复印，其中：</w:t>
      </w:r>
    </w:p>
    <w:p w14:paraId="72787837">
      <w:pPr>
        <w:pStyle w:val="11"/>
        <w:ind w:firstLine="480"/>
        <w:jc w:val="both"/>
        <w:rPr>
          <w:highlight w:val="none"/>
        </w:rPr>
      </w:pPr>
      <w:r>
        <w:rPr>
          <w:rFonts w:ascii="仿宋_GB2312" w:hAnsi="仿宋_GB2312" w:eastAsia="仿宋_GB2312" w:cs="仿宋_GB2312"/>
          <w:highlight w:val="none"/>
        </w:rPr>
        <w:t>①正本应用A4幅面纸张打印装订，编制封面（封面标明“正本”字样）、索引、页码，并用胶装装订成册。</w:t>
      </w:r>
    </w:p>
    <w:p w14:paraId="0A2F1AD4">
      <w:pPr>
        <w:pStyle w:val="11"/>
        <w:ind w:firstLine="480"/>
        <w:jc w:val="both"/>
        <w:rPr>
          <w:highlight w:val="none"/>
        </w:rPr>
      </w:pPr>
      <w:r>
        <w:rPr>
          <w:rFonts w:ascii="仿宋_GB2312" w:hAnsi="仿宋_GB2312" w:eastAsia="仿宋_GB2312" w:cs="仿宋_GB2312"/>
          <w:highlight w:val="none"/>
        </w:rPr>
        <w:t>②副本应用A4幅面纸张打印装订，编制封面（封面标明“副本”字样）、索引、页码，并用胶装装订成册；副本可用正本的完整复印件，并与正本保持一致（若不一致，以正本为准）。</w:t>
      </w:r>
    </w:p>
    <w:p w14:paraId="3A650982">
      <w:pPr>
        <w:pStyle w:val="11"/>
        <w:ind w:firstLine="480"/>
        <w:jc w:val="both"/>
        <w:rPr>
          <w:highlight w:val="none"/>
        </w:rPr>
      </w:pPr>
      <w:r>
        <w:rPr>
          <w:rFonts w:ascii="仿宋_GB2312" w:hAnsi="仿宋_GB2312" w:eastAsia="仿宋_GB2312" w:cs="仿宋_GB2312"/>
          <w:highlight w:val="none"/>
        </w:rPr>
        <w:t>③允许散装或活页装订的内容或材料：详见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061CFCB6">
      <w:pPr>
        <w:pStyle w:val="11"/>
        <w:ind w:firstLine="480"/>
        <w:jc w:val="both"/>
        <w:rPr>
          <w:highlight w:val="none"/>
        </w:rPr>
      </w:pPr>
      <w:r>
        <w:rPr>
          <w:rFonts w:ascii="仿宋_GB2312" w:hAnsi="仿宋_GB2312" w:eastAsia="仿宋_GB2312" w:cs="仿宋_GB2312"/>
          <w:highlight w:val="none"/>
        </w:rPr>
        <w:t>※除本章第9.5条第（2）款第③点规定情形之外，响应文件散装或活页装订将导致报价无效。</w:t>
      </w:r>
    </w:p>
    <w:p w14:paraId="50505713">
      <w:pPr>
        <w:pStyle w:val="11"/>
        <w:ind w:firstLine="480"/>
        <w:jc w:val="both"/>
        <w:rPr>
          <w:highlight w:val="none"/>
        </w:rPr>
      </w:pPr>
      <w:r>
        <w:rPr>
          <w:rFonts w:ascii="仿宋_GB2312" w:hAnsi="仿宋_GB2312" w:eastAsia="仿宋_GB2312" w:cs="仿宋_GB2312"/>
          <w:highlight w:val="none"/>
        </w:rPr>
        <w:t>（3）除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另有规定外，响应文件应使用人民币作为计量货币，计量单位应使用我国法定计量单位。</w:t>
      </w:r>
    </w:p>
    <w:p w14:paraId="4322D0F7">
      <w:pPr>
        <w:pStyle w:val="11"/>
        <w:ind w:firstLine="480"/>
        <w:jc w:val="both"/>
        <w:rPr>
          <w:highlight w:val="none"/>
        </w:rPr>
      </w:pPr>
      <w:r>
        <w:rPr>
          <w:rFonts w:ascii="仿宋_GB2312" w:hAnsi="仿宋_GB2312" w:eastAsia="仿宋_GB2312" w:cs="仿宋_GB2312"/>
          <w:highlight w:val="none"/>
        </w:rPr>
        <w:t>（4）响应文件应由供应商代表签字并加盖供应商的单位公章。若供应商代表为单位负责人授权的委托代理人，应提供“单位负责人授权书”。</w:t>
      </w:r>
    </w:p>
    <w:p w14:paraId="2D338D2E">
      <w:pPr>
        <w:pStyle w:val="11"/>
        <w:ind w:firstLine="480"/>
        <w:jc w:val="both"/>
        <w:rPr>
          <w:highlight w:val="none"/>
        </w:rPr>
      </w:pPr>
      <w:r>
        <w:rPr>
          <w:rFonts w:ascii="仿宋_GB2312" w:hAnsi="仿宋_GB2312" w:eastAsia="仿宋_GB2312" w:cs="仿宋_GB2312"/>
          <w:highlight w:val="none"/>
        </w:rPr>
        <w:t>（5）响应文件应没有涂改或行间插字，除非这些改动是根据采购方的指示进行的，或是为改正供应商造成的应修改的错误而进行的。若有前述改动，应按照下列规定之一对改动处进行处理：</w:t>
      </w:r>
    </w:p>
    <w:p w14:paraId="2BE4D0DD">
      <w:pPr>
        <w:pStyle w:val="11"/>
        <w:ind w:firstLine="480"/>
        <w:jc w:val="both"/>
        <w:rPr>
          <w:highlight w:val="none"/>
        </w:rPr>
      </w:pPr>
      <w:r>
        <w:rPr>
          <w:rFonts w:ascii="仿宋_GB2312" w:hAnsi="仿宋_GB2312" w:eastAsia="仿宋_GB2312" w:cs="仿宋_GB2312"/>
          <w:highlight w:val="none"/>
        </w:rPr>
        <w:t>①供应商代表签字确认；</w:t>
      </w:r>
    </w:p>
    <w:p w14:paraId="0192C814">
      <w:pPr>
        <w:pStyle w:val="11"/>
        <w:ind w:firstLine="480"/>
        <w:jc w:val="both"/>
        <w:rPr>
          <w:highlight w:val="none"/>
        </w:rPr>
      </w:pPr>
      <w:r>
        <w:rPr>
          <w:rFonts w:ascii="仿宋_GB2312" w:hAnsi="仿宋_GB2312" w:eastAsia="仿宋_GB2312" w:cs="仿宋_GB2312"/>
          <w:highlight w:val="none"/>
        </w:rPr>
        <w:t>②加盖供应商的单位公章或校正章。</w:t>
      </w:r>
    </w:p>
    <w:p w14:paraId="6B0E9E6C">
      <w:pPr>
        <w:pStyle w:val="11"/>
        <w:ind w:firstLine="480"/>
        <w:jc w:val="both"/>
        <w:rPr>
          <w:highlight w:val="none"/>
        </w:rPr>
      </w:pPr>
      <w:r>
        <w:rPr>
          <w:rFonts w:ascii="仿宋_GB2312" w:hAnsi="仿宋_GB2312" w:eastAsia="仿宋_GB2312" w:cs="仿宋_GB2312"/>
          <w:highlight w:val="none"/>
        </w:rPr>
        <w:t>9.6分包</w:t>
      </w:r>
    </w:p>
    <w:p w14:paraId="29967924">
      <w:pPr>
        <w:pStyle w:val="11"/>
        <w:ind w:firstLine="480"/>
        <w:jc w:val="both"/>
        <w:rPr>
          <w:highlight w:val="none"/>
        </w:rPr>
      </w:pPr>
      <w:r>
        <w:rPr>
          <w:rFonts w:ascii="仿宋_GB2312" w:hAnsi="仿宋_GB2312" w:eastAsia="仿宋_GB2312" w:cs="仿宋_GB2312"/>
          <w:highlight w:val="none"/>
        </w:rPr>
        <w:t>（1）是否允许成交人进行分包：详见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3C620E90">
      <w:pPr>
        <w:pStyle w:val="11"/>
        <w:ind w:firstLine="480"/>
        <w:jc w:val="both"/>
        <w:rPr>
          <w:highlight w:val="none"/>
        </w:rPr>
      </w:pPr>
      <w:r>
        <w:rPr>
          <w:rFonts w:ascii="仿宋_GB2312" w:hAnsi="仿宋_GB2312" w:eastAsia="仿宋_GB2312" w:cs="仿宋_GB2312"/>
          <w:highlight w:val="none"/>
        </w:rPr>
        <w:t>（2）若允许成交人进行分包且供应商拟在成交后进行分包，则供应商应在响应文件中载明关于非主体、非关键性工作分包及分包人资质条件的说明，否则视为不进行分包。</w:t>
      </w:r>
    </w:p>
    <w:p w14:paraId="37700A85">
      <w:pPr>
        <w:pStyle w:val="11"/>
        <w:ind w:firstLine="480"/>
        <w:jc w:val="both"/>
        <w:rPr>
          <w:highlight w:val="none"/>
        </w:rPr>
      </w:pPr>
      <w:r>
        <w:rPr>
          <w:rFonts w:ascii="仿宋_GB2312" w:hAnsi="仿宋_GB2312" w:eastAsia="仿宋_GB2312" w:cs="仿宋_GB2312"/>
          <w:highlight w:val="none"/>
        </w:rPr>
        <w:t>9.7响应有效期</w:t>
      </w:r>
    </w:p>
    <w:p w14:paraId="4117009D">
      <w:pPr>
        <w:pStyle w:val="11"/>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载明的响应有效期：详见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5E8943B2">
      <w:pPr>
        <w:pStyle w:val="11"/>
        <w:ind w:firstLine="480"/>
        <w:jc w:val="both"/>
        <w:rPr>
          <w:highlight w:val="none"/>
        </w:rPr>
      </w:pPr>
      <w:r>
        <w:rPr>
          <w:rFonts w:ascii="仿宋_GB2312" w:hAnsi="仿宋_GB2312" w:eastAsia="仿宋_GB2312" w:cs="仿宋_GB2312"/>
          <w:highlight w:val="none"/>
        </w:rPr>
        <w:t>（2）响应文件承诺的响应有效期不得少于</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载明的响应有效期，否则报价无效。</w:t>
      </w:r>
    </w:p>
    <w:p w14:paraId="2CBBC542">
      <w:pPr>
        <w:pStyle w:val="11"/>
        <w:ind w:firstLine="480"/>
        <w:jc w:val="both"/>
        <w:rPr>
          <w:highlight w:val="none"/>
        </w:rPr>
      </w:pPr>
      <w:r>
        <w:rPr>
          <w:rFonts w:ascii="仿宋_GB2312" w:hAnsi="仿宋_GB2312" w:eastAsia="仿宋_GB2312" w:cs="仿宋_GB2312"/>
          <w:highlight w:val="none"/>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3F255A88">
      <w:pPr>
        <w:pStyle w:val="11"/>
        <w:ind w:firstLine="480"/>
        <w:jc w:val="both"/>
        <w:rPr>
          <w:highlight w:val="none"/>
        </w:rPr>
      </w:pPr>
      <w:r>
        <w:rPr>
          <w:rFonts w:ascii="仿宋_GB2312" w:hAnsi="仿宋_GB2312" w:eastAsia="仿宋_GB2312" w:cs="仿宋_GB2312"/>
          <w:highlight w:val="none"/>
        </w:rPr>
        <w:t>9.8</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w:t>
      </w:r>
    </w:p>
    <w:p w14:paraId="330E4F91">
      <w:pPr>
        <w:pStyle w:val="11"/>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保证金作为供应商按照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要求履行相应报价义务的约束及担保。</w:t>
      </w:r>
    </w:p>
    <w:p w14:paraId="7864B14D">
      <w:pPr>
        <w:pStyle w:val="11"/>
        <w:ind w:firstLine="480"/>
        <w:jc w:val="both"/>
        <w:rPr>
          <w:highlight w:val="none"/>
        </w:rPr>
      </w:pPr>
      <w:r>
        <w:rPr>
          <w:rFonts w:ascii="仿宋_GB2312" w:hAnsi="仿宋_GB2312" w:eastAsia="仿宋_GB2312" w:cs="仿宋_GB2312"/>
          <w:highlight w:val="none"/>
        </w:rPr>
        <w:t>（2）供应商以电子保函形式提交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保证金的，保函的有效期应等于或长于响应文件承诺的报价有效期，否则响应无效。</w:t>
      </w:r>
    </w:p>
    <w:p w14:paraId="043C0354">
      <w:pPr>
        <w:pStyle w:val="11"/>
        <w:ind w:firstLine="480"/>
        <w:jc w:val="both"/>
        <w:rPr>
          <w:highlight w:val="none"/>
        </w:rPr>
      </w:pPr>
      <w:r>
        <w:rPr>
          <w:rFonts w:ascii="仿宋_GB2312" w:hAnsi="仿宋_GB2312" w:eastAsia="仿宋_GB2312" w:cs="仿宋_GB2312"/>
          <w:highlight w:val="none"/>
        </w:rPr>
        <w:t>（3）提交</w:t>
      </w:r>
    </w:p>
    <w:p w14:paraId="316868D3">
      <w:pPr>
        <w:pStyle w:val="11"/>
        <w:ind w:firstLine="480"/>
        <w:jc w:val="both"/>
        <w:rPr>
          <w:highlight w:val="none"/>
        </w:rPr>
      </w:pPr>
      <w:r>
        <w:rPr>
          <w:rFonts w:ascii="仿宋_GB2312" w:hAnsi="仿宋_GB2312" w:eastAsia="仿宋_GB2312" w:cs="仿宋_GB2312"/>
          <w:highlight w:val="none"/>
        </w:rPr>
        <w:t>①供应商以汇款形式缴纳</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保证金的，应从其银行账户（基本户）按照下列方式：银行公对公转账向</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保证金账户提交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保证金，具体金额详见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第一章。</w:t>
      </w:r>
    </w:p>
    <w:p w14:paraId="4895B57A">
      <w:pPr>
        <w:pStyle w:val="11"/>
        <w:ind w:firstLine="480"/>
        <w:jc w:val="both"/>
        <w:rPr>
          <w:highlight w:val="none"/>
        </w:rPr>
      </w:pPr>
      <w:r>
        <w:rPr>
          <w:rFonts w:ascii="仿宋_GB2312" w:hAnsi="仿宋_GB2312" w:eastAsia="仿宋_GB2312" w:cs="仿宋_GB2312"/>
          <w:highlight w:val="none"/>
        </w:rPr>
        <w:t>②供应商以电子保函形式提交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保证金的，可在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载明的响应截止时间前通过</w:t>
      </w:r>
      <w:r>
        <w:rPr>
          <w:rFonts w:hint="eastAsia" w:ascii="仿宋_GB2312" w:hAnsi="仿宋_GB2312" w:eastAsia="仿宋_GB2312" w:cs="仿宋_GB2312"/>
          <w:highlight w:val="none"/>
          <w:lang w:eastAsia="zh-CN"/>
        </w:rPr>
        <w:t>福州市公共资源交易网</w:t>
      </w:r>
      <w:r>
        <w:rPr>
          <w:rFonts w:ascii="仿宋_GB2312" w:hAnsi="仿宋_GB2312" w:eastAsia="仿宋_GB2312" w:cs="仿宋_GB2312"/>
          <w:highlight w:val="none"/>
        </w:rPr>
        <w:t>“保函服务”栏目办理电子保函并在电汇或银行转账单上注明（项目编号</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采购包：</w:t>
      </w:r>
      <w:r>
        <w:rPr>
          <w:rFonts w:ascii="仿宋_GB2312" w:hAnsi="仿宋_GB2312" w:eastAsia="仿宋_GB2312" w:cs="仿宋_GB2312"/>
          <w:highlight w:val="none"/>
        </w:rPr>
        <w:t>）；在响应截止时间之前将电子保函文件放入响应文件中，否则视为未提交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w:t>
      </w:r>
    </w:p>
    <w:p w14:paraId="5EEC2478">
      <w:pPr>
        <w:pStyle w:val="11"/>
        <w:ind w:firstLine="480"/>
        <w:jc w:val="left"/>
        <w:rPr>
          <w:highlight w:val="none"/>
        </w:rPr>
      </w:pPr>
      <w:r>
        <w:rPr>
          <w:rFonts w:ascii="仿宋_GB2312" w:hAnsi="仿宋_GB2312" w:eastAsia="仿宋_GB2312" w:cs="仿宋_GB2312"/>
          <w:highlight w:val="none"/>
        </w:rPr>
        <w:t>③其他方式：</w:t>
      </w:r>
    </w:p>
    <w:p w14:paraId="4CFB3CE7">
      <w:pPr>
        <w:pStyle w:val="11"/>
        <w:ind w:firstLine="480"/>
        <w:jc w:val="both"/>
        <w:rPr>
          <w:highlight w:val="none"/>
        </w:rPr>
      </w:pPr>
      <w:r>
        <w:rPr>
          <w:rFonts w:ascii="仿宋_GB2312" w:hAnsi="仿宋_GB2312" w:eastAsia="仿宋_GB2312" w:cs="仿宋_GB2312"/>
          <w:highlight w:val="none"/>
        </w:rPr>
        <w:t>④若本项目接受联合体</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且供应商为联合体，则联合体应按照本款第①、②、③点规定提交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w:t>
      </w:r>
    </w:p>
    <w:p w14:paraId="09EEBD84">
      <w:pPr>
        <w:pStyle w:val="11"/>
        <w:ind w:firstLine="480"/>
        <w:jc w:val="both"/>
        <w:rPr>
          <w:highlight w:val="none"/>
        </w:rPr>
      </w:pPr>
      <w:r>
        <w:rPr>
          <w:rFonts w:ascii="仿宋_GB2312" w:hAnsi="仿宋_GB2312" w:eastAsia="仿宋_GB2312" w:cs="仿宋_GB2312"/>
          <w:highlight w:val="none"/>
        </w:rPr>
        <w:t>※未按照上述规定提交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保证金将导致报价无效。</w:t>
      </w:r>
    </w:p>
    <w:p w14:paraId="4A02C1FE">
      <w:pPr>
        <w:pStyle w:val="11"/>
        <w:ind w:firstLine="480"/>
        <w:jc w:val="both"/>
        <w:rPr>
          <w:highlight w:val="none"/>
        </w:rPr>
      </w:pPr>
      <w:r>
        <w:rPr>
          <w:rFonts w:ascii="仿宋_GB2312" w:hAnsi="仿宋_GB2312" w:eastAsia="仿宋_GB2312" w:cs="仿宋_GB2312"/>
          <w:highlight w:val="none"/>
        </w:rPr>
        <w:t>（4）退还</w:t>
      </w:r>
    </w:p>
    <w:p w14:paraId="62672D21">
      <w:pPr>
        <w:pStyle w:val="11"/>
        <w:ind w:firstLine="480"/>
        <w:jc w:val="both"/>
        <w:rPr>
          <w:highlight w:val="none"/>
        </w:rPr>
      </w:pPr>
      <w:r>
        <w:rPr>
          <w:rFonts w:ascii="仿宋_GB2312" w:hAnsi="仿宋_GB2312" w:eastAsia="仿宋_GB2312" w:cs="仿宋_GB2312"/>
          <w:highlight w:val="none"/>
        </w:rPr>
        <w:t>①未成交人的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保证金将在成交通知书发出之日起5个工作日内退回原账户。</w:t>
      </w:r>
    </w:p>
    <w:p w14:paraId="6BF28EAE">
      <w:pPr>
        <w:pStyle w:val="11"/>
        <w:ind w:firstLine="480"/>
        <w:jc w:val="both"/>
        <w:rPr>
          <w:highlight w:val="none"/>
        </w:rPr>
      </w:pPr>
      <w:r>
        <w:rPr>
          <w:rFonts w:ascii="仿宋_GB2312" w:hAnsi="仿宋_GB2312" w:eastAsia="仿宋_GB2312" w:cs="仿宋_GB2312"/>
          <w:highlight w:val="none"/>
        </w:rPr>
        <w:t>②成交人的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保证金将在采购合同签订之日起5个工作日内退回原账户。</w:t>
      </w:r>
    </w:p>
    <w:p w14:paraId="1676ADF7">
      <w:pPr>
        <w:pStyle w:val="11"/>
        <w:ind w:firstLine="480"/>
        <w:jc w:val="both"/>
        <w:rPr>
          <w:highlight w:val="none"/>
        </w:rPr>
      </w:pPr>
      <w:r>
        <w:rPr>
          <w:rFonts w:ascii="仿宋_GB2312" w:hAnsi="仿宋_GB2312" w:eastAsia="仿宋_GB2312" w:cs="仿宋_GB2312"/>
          <w:highlight w:val="none"/>
        </w:rPr>
        <w:t>③质疑或投诉涉及的供应商，若</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保证金尚未退还，则待质疑或投诉处理完毕后不计利息原额退还。</w:t>
      </w:r>
    </w:p>
    <w:p w14:paraId="55E57783">
      <w:pPr>
        <w:pStyle w:val="11"/>
        <w:ind w:firstLine="480"/>
        <w:jc w:val="both"/>
        <w:rPr>
          <w:highlight w:val="none"/>
        </w:rPr>
      </w:pPr>
      <w:r>
        <w:rPr>
          <w:rFonts w:ascii="仿宋_GB2312" w:hAnsi="仿宋_GB2312" w:eastAsia="仿宋_GB2312" w:cs="仿宋_GB2312"/>
          <w:highlight w:val="none"/>
        </w:rPr>
        <w:t>（5）若出现本章第9.7条第（3）款规定情形，对于拒绝延长响应有效期的供应商，</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保证金仍可退还。对于接受延长响应有效期的供应商，相应延长</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保证金有效期，</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关于退还和不予退还</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保证金的规定继续适用。</w:t>
      </w:r>
    </w:p>
    <w:p w14:paraId="37545A8F">
      <w:pPr>
        <w:pStyle w:val="11"/>
        <w:ind w:firstLine="480"/>
        <w:jc w:val="both"/>
        <w:rPr>
          <w:highlight w:val="none"/>
        </w:rPr>
      </w:pPr>
      <w:r>
        <w:rPr>
          <w:rFonts w:ascii="仿宋_GB2312" w:hAnsi="仿宋_GB2312" w:eastAsia="仿宋_GB2312" w:cs="仿宋_GB2312"/>
          <w:highlight w:val="none"/>
        </w:rPr>
        <w:t>（6）有下列情形之一的，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保证金将不予退还或通过保函进行索赔：</w:t>
      </w:r>
    </w:p>
    <w:p w14:paraId="38F605CE">
      <w:pPr>
        <w:pStyle w:val="11"/>
        <w:ind w:firstLine="480"/>
        <w:jc w:val="both"/>
        <w:rPr>
          <w:highlight w:val="none"/>
        </w:rPr>
      </w:pPr>
      <w:r>
        <w:rPr>
          <w:rFonts w:ascii="仿宋_GB2312" w:hAnsi="仿宋_GB2312" w:eastAsia="仿宋_GB2312" w:cs="仿宋_GB2312"/>
          <w:highlight w:val="none"/>
        </w:rPr>
        <w:t>①供应商</w:t>
      </w:r>
      <w:r>
        <w:rPr>
          <w:rFonts w:hint="eastAsia" w:ascii="仿宋_GB2312" w:hAnsi="仿宋_GB2312" w:eastAsia="仿宋_GB2312" w:cs="仿宋_GB2312"/>
          <w:highlight w:val="none"/>
          <w:lang w:eastAsia="zh-CN"/>
        </w:rPr>
        <w:t>有</w:t>
      </w:r>
      <w:r>
        <w:rPr>
          <w:rFonts w:ascii="仿宋_GB2312" w:hAnsi="仿宋_GB2312" w:eastAsia="仿宋_GB2312" w:cs="仿宋_GB2312"/>
          <w:highlight w:val="none"/>
        </w:rPr>
        <w:t>恶意串通</w:t>
      </w:r>
      <w:r>
        <w:rPr>
          <w:rFonts w:hint="eastAsia" w:ascii="仿宋_GB2312" w:hAnsi="仿宋_GB2312" w:eastAsia="仿宋_GB2312" w:cs="仿宋_GB2312"/>
          <w:highlight w:val="none"/>
          <w:lang w:eastAsia="zh-CN"/>
        </w:rPr>
        <w:t>行为</w:t>
      </w:r>
      <w:r>
        <w:rPr>
          <w:rFonts w:ascii="仿宋_GB2312" w:hAnsi="仿宋_GB2312" w:eastAsia="仿宋_GB2312" w:cs="仿宋_GB2312"/>
          <w:highlight w:val="none"/>
        </w:rPr>
        <w:t>的；</w:t>
      </w:r>
    </w:p>
    <w:p w14:paraId="03DA0740">
      <w:pPr>
        <w:pStyle w:val="11"/>
        <w:ind w:firstLine="480"/>
        <w:jc w:val="both"/>
        <w:rPr>
          <w:highlight w:val="none"/>
        </w:rPr>
      </w:pPr>
      <w:r>
        <w:rPr>
          <w:rFonts w:ascii="仿宋_GB2312" w:hAnsi="仿宋_GB2312" w:eastAsia="仿宋_GB2312" w:cs="仿宋_GB2312"/>
          <w:highlight w:val="none"/>
        </w:rPr>
        <w:t>②供应商提供虚假材料的；</w:t>
      </w:r>
    </w:p>
    <w:p w14:paraId="69C147DB">
      <w:pPr>
        <w:pStyle w:val="11"/>
        <w:ind w:firstLine="480"/>
        <w:jc w:val="both"/>
        <w:rPr>
          <w:highlight w:val="none"/>
        </w:rPr>
      </w:pPr>
      <w:r>
        <w:rPr>
          <w:rFonts w:ascii="仿宋_GB2312" w:hAnsi="仿宋_GB2312" w:eastAsia="仿宋_GB2312" w:cs="仿宋_GB2312"/>
          <w:highlight w:val="none"/>
        </w:rPr>
        <w:t>③供应商采取不正当手段诋毁、排挤其他供应商；</w:t>
      </w:r>
    </w:p>
    <w:p w14:paraId="36657432">
      <w:pPr>
        <w:pStyle w:val="11"/>
        <w:ind w:firstLine="480"/>
        <w:jc w:val="both"/>
        <w:rPr>
          <w:highlight w:val="none"/>
        </w:rPr>
      </w:pPr>
      <w:r>
        <w:rPr>
          <w:rFonts w:ascii="仿宋_GB2312" w:hAnsi="仿宋_GB2312" w:eastAsia="仿宋_GB2312" w:cs="仿宋_GB2312"/>
          <w:highlight w:val="none"/>
        </w:rPr>
        <w:t>④提交响应文件截止时间后，供应商在响应有效期内撤销响应文件的；</w:t>
      </w:r>
    </w:p>
    <w:p w14:paraId="60A818F9">
      <w:pPr>
        <w:pStyle w:val="11"/>
        <w:ind w:firstLine="480"/>
        <w:jc w:val="both"/>
        <w:rPr>
          <w:highlight w:val="none"/>
        </w:rPr>
      </w:pPr>
      <w:r>
        <w:rPr>
          <w:rFonts w:ascii="仿宋_GB2312" w:hAnsi="仿宋_GB2312" w:eastAsia="仿宋_GB2312" w:cs="仿宋_GB2312"/>
          <w:highlight w:val="none"/>
        </w:rPr>
        <w:t>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规定的其他不予退还情形的；</w:t>
      </w:r>
    </w:p>
    <w:p w14:paraId="4933D6CF">
      <w:pPr>
        <w:pStyle w:val="11"/>
        <w:ind w:firstLine="480"/>
        <w:jc w:val="both"/>
        <w:rPr>
          <w:highlight w:val="none"/>
        </w:rPr>
      </w:pPr>
      <w:r>
        <w:rPr>
          <w:rFonts w:ascii="仿宋_GB2312" w:hAnsi="仿宋_GB2312" w:eastAsia="仿宋_GB2312" w:cs="仿宋_GB2312"/>
          <w:highlight w:val="none"/>
        </w:rPr>
        <w:t>⑥成交人有下列情形之一的；</w:t>
      </w:r>
    </w:p>
    <w:p w14:paraId="3AA8D6BA">
      <w:pPr>
        <w:pStyle w:val="11"/>
        <w:ind w:firstLine="480"/>
        <w:jc w:val="both"/>
        <w:rPr>
          <w:highlight w:val="none"/>
        </w:rPr>
      </w:pPr>
      <w:r>
        <w:rPr>
          <w:rFonts w:ascii="仿宋_GB2312" w:hAnsi="仿宋_GB2312" w:eastAsia="仿宋_GB2312" w:cs="仿宋_GB2312"/>
          <w:highlight w:val="none"/>
        </w:rPr>
        <w:t>a.除不可抗力外，因成交人自身原因未在成交通知书要求的期限内与采购人签订采购合同；</w:t>
      </w:r>
    </w:p>
    <w:p w14:paraId="2EBFD0D4">
      <w:pPr>
        <w:pStyle w:val="11"/>
        <w:ind w:firstLine="480"/>
        <w:jc w:val="both"/>
        <w:rPr>
          <w:highlight w:val="none"/>
        </w:rPr>
      </w:pPr>
      <w:r>
        <w:rPr>
          <w:rFonts w:ascii="仿宋_GB2312" w:hAnsi="仿宋_GB2312" w:eastAsia="仿宋_GB2312" w:cs="仿宋_GB2312"/>
          <w:highlight w:val="none"/>
        </w:rPr>
        <w:t>b.未按照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、响应文件的约定签订采购合同或提交履约保证金。</w:t>
      </w:r>
    </w:p>
    <w:p w14:paraId="54538D13">
      <w:pPr>
        <w:pStyle w:val="11"/>
        <w:ind w:firstLine="480"/>
        <w:jc w:val="both"/>
        <w:rPr>
          <w:highlight w:val="none"/>
        </w:rPr>
      </w:pPr>
      <w:r>
        <w:rPr>
          <w:rFonts w:ascii="仿宋_GB2312" w:hAnsi="仿宋_GB2312" w:eastAsia="仿宋_GB2312" w:cs="仿宋_GB2312"/>
          <w:highlight w:val="none"/>
        </w:rPr>
        <w:t>※若上述</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保证金不予退还情形给采购代理机构造成损失，则供应商还要承担相应的赔偿责任。</w:t>
      </w:r>
    </w:p>
    <w:p w14:paraId="7DF8DE76">
      <w:pPr>
        <w:pStyle w:val="11"/>
        <w:ind w:firstLine="480"/>
        <w:jc w:val="both"/>
        <w:rPr>
          <w:highlight w:val="none"/>
        </w:rPr>
      </w:pPr>
      <w:r>
        <w:rPr>
          <w:rFonts w:ascii="仿宋_GB2312" w:hAnsi="仿宋_GB2312" w:eastAsia="仿宋_GB2312" w:cs="仿宋_GB2312"/>
          <w:highlight w:val="none"/>
        </w:rPr>
        <w:t>9.9响应文件的提交</w:t>
      </w:r>
    </w:p>
    <w:p w14:paraId="474D4909">
      <w:pPr>
        <w:pStyle w:val="11"/>
        <w:ind w:firstLine="480"/>
        <w:jc w:val="both"/>
        <w:rPr>
          <w:highlight w:val="none"/>
        </w:rPr>
      </w:pPr>
      <w:r>
        <w:rPr>
          <w:rFonts w:ascii="仿宋_GB2312" w:hAnsi="仿宋_GB2312" w:eastAsia="仿宋_GB2312" w:cs="仿宋_GB2312"/>
          <w:highlight w:val="none"/>
        </w:rPr>
        <w:t>（1）一个供应商只能提交一个响应文件，并按照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第一章规定将其送达。</w:t>
      </w:r>
    </w:p>
    <w:p w14:paraId="278B5828">
      <w:pPr>
        <w:pStyle w:val="11"/>
        <w:ind w:firstLine="480"/>
        <w:jc w:val="both"/>
        <w:rPr>
          <w:highlight w:val="none"/>
        </w:rPr>
      </w:pPr>
      <w:r>
        <w:rPr>
          <w:rFonts w:ascii="仿宋_GB2312" w:hAnsi="仿宋_GB2312" w:eastAsia="仿宋_GB2312" w:cs="仿宋_GB2312"/>
          <w:highlight w:val="none"/>
        </w:rPr>
        <w:t>（2）密封及其标记的具体形式：详见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150E7685">
      <w:pPr>
        <w:pStyle w:val="11"/>
        <w:ind w:firstLine="480"/>
        <w:jc w:val="both"/>
        <w:rPr>
          <w:highlight w:val="none"/>
        </w:rPr>
      </w:pPr>
      <w:r>
        <w:rPr>
          <w:rFonts w:ascii="仿宋_GB2312" w:hAnsi="仿宋_GB2312" w:eastAsia="仿宋_GB2312" w:cs="仿宋_GB2312"/>
          <w:highlight w:val="none"/>
        </w:rPr>
        <w:t>9.10响应文件的补充、修改或撤回</w:t>
      </w:r>
    </w:p>
    <w:p w14:paraId="0C17ED86">
      <w:pPr>
        <w:pStyle w:val="11"/>
        <w:ind w:firstLine="480"/>
        <w:jc w:val="both"/>
        <w:rPr>
          <w:highlight w:val="none"/>
        </w:rPr>
      </w:pPr>
      <w:r>
        <w:rPr>
          <w:rFonts w:ascii="仿宋_GB2312" w:hAnsi="仿宋_GB2312" w:eastAsia="仿宋_GB2312" w:cs="仿宋_GB2312"/>
          <w:highlight w:val="none"/>
        </w:rPr>
        <w:t>（1）提交响应文件截止时间前，供应商可对所提交的响应文件进行补充、修改或撤回，并书面通知采购代理机构。</w:t>
      </w:r>
    </w:p>
    <w:p w14:paraId="10B82DDD">
      <w:pPr>
        <w:pStyle w:val="11"/>
        <w:ind w:firstLine="480"/>
        <w:jc w:val="both"/>
        <w:rPr>
          <w:highlight w:val="none"/>
        </w:rPr>
      </w:pPr>
      <w:r>
        <w:rPr>
          <w:rFonts w:ascii="仿宋_GB2312" w:hAnsi="仿宋_GB2312" w:eastAsia="仿宋_GB2312" w:cs="仿宋_GB2312"/>
          <w:highlight w:val="none"/>
        </w:rPr>
        <w:t>（2）补充、修改的内容应按照本章第9.5条第（4）款规定进行签章，并按照本章第9.9条规定提交，否则将被拒收。</w:t>
      </w:r>
    </w:p>
    <w:p w14:paraId="24F99372">
      <w:pPr>
        <w:pStyle w:val="11"/>
        <w:ind w:firstLine="480"/>
        <w:jc w:val="both"/>
        <w:rPr>
          <w:highlight w:val="none"/>
        </w:rPr>
      </w:pPr>
      <w:r>
        <w:rPr>
          <w:rFonts w:ascii="仿宋_GB2312" w:hAnsi="仿宋_GB2312" w:eastAsia="仿宋_GB2312" w:cs="仿宋_GB2312"/>
          <w:highlight w:val="none"/>
        </w:rPr>
        <w:t>（3）补充、修改的内容作为响应文件组成部分。</w:t>
      </w:r>
    </w:p>
    <w:p w14:paraId="5C811F97">
      <w:pPr>
        <w:pStyle w:val="11"/>
        <w:ind w:firstLine="480"/>
        <w:jc w:val="both"/>
        <w:rPr>
          <w:highlight w:val="none"/>
        </w:rPr>
      </w:pPr>
      <w:r>
        <w:rPr>
          <w:rFonts w:ascii="仿宋_GB2312" w:hAnsi="仿宋_GB2312" w:eastAsia="仿宋_GB2312" w:cs="仿宋_GB2312"/>
          <w:highlight w:val="none"/>
        </w:rPr>
        <w:t>9.11除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另有规定外，有下列情形之一的，报价无效：</w:t>
      </w:r>
    </w:p>
    <w:p w14:paraId="774767B2">
      <w:pPr>
        <w:pStyle w:val="11"/>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保证金未按照规定提交的；</w:t>
      </w:r>
    </w:p>
    <w:p w14:paraId="7A46AA0E">
      <w:pPr>
        <w:pStyle w:val="11"/>
        <w:ind w:firstLine="480"/>
        <w:jc w:val="both"/>
        <w:rPr>
          <w:highlight w:val="none"/>
        </w:rPr>
      </w:pPr>
      <w:r>
        <w:rPr>
          <w:rFonts w:ascii="仿宋_GB2312" w:hAnsi="仿宋_GB2312" w:eastAsia="仿宋_GB2312" w:cs="仿宋_GB2312"/>
          <w:highlight w:val="none"/>
        </w:rPr>
        <w:t>（2）响应文件散装或活页装订的；</w:t>
      </w:r>
    </w:p>
    <w:p w14:paraId="2CCF68B4">
      <w:pPr>
        <w:pStyle w:val="11"/>
        <w:ind w:firstLine="480"/>
        <w:jc w:val="both"/>
        <w:rPr>
          <w:highlight w:val="none"/>
        </w:rPr>
      </w:pPr>
      <w:r>
        <w:rPr>
          <w:rFonts w:ascii="仿宋_GB2312" w:hAnsi="仿宋_GB2312" w:eastAsia="仿宋_GB2312" w:cs="仿宋_GB2312"/>
          <w:highlight w:val="none"/>
        </w:rPr>
        <w:t>（3）不具备</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中规定的资格要求的；</w:t>
      </w:r>
    </w:p>
    <w:p w14:paraId="7464D855">
      <w:pPr>
        <w:pStyle w:val="11"/>
        <w:ind w:firstLine="480"/>
        <w:jc w:val="both"/>
        <w:rPr>
          <w:highlight w:val="none"/>
        </w:rPr>
      </w:pPr>
      <w:r>
        <w:rPr>
          <w:rFonts w:ascii="仿宋_GB2312" w:hAnsi="仿宋_GB2312" w:eastAsia="仿宋_GB2312" w:cs="仿宋_GB2312"/>
          <w:highlight w:val="none"/>
        </w:rPr>
        <w:t>（4）报价超过</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中规定的最高限价的；</w:t>
      </w:r>
    </w:p>
    <w:p w14:paraId="7E88D0BE">
      <w:pPr>
        <w:pStyle w:val="11"/>
        <w:ind w:firstLine="480"/>
        <w:jc w:val="both"/>
        <w:rPr>
          <w:highlight w:val="none"/>
        </w:rPr>
      </w:pPr>
      <w:r>
        <w:rPr>
          <w:rFonts w:ascii="仿宋_GB2312" w:hAnsi="仿宋_GB2312" w:eastAsia="仿宋_GB2312" w:cs="仿宋_GB2312"/>
          <w:highlight w:val="none"/>
        </w:rPr>
        <w:t>（5）响应文件含有采购人不能接受的附加条件的；</w:t>
      </w:r>
    </w:p>
    <w:p w14:paraId="3EC65DEE">
      <w:pPr>
        <w:pStyle w:val="11"/>
        <w:ind w:firstLine="480"/>
        <w:jc w:val="both"/>
        <w:rPr>
          <w:highlight w:val="none"/>
        </w:rPr>
      </w:pPr>
      <w:r>
        <w:rPr>
          <w:rFonts w:ascii="仿宋_GB2312" w:hAnsi="仿宋_GB2312" w:eastAsia="仿宋_GB2312" w:cs="仿宋_GB2312"/>
          <w:highlight w:val="none"/>
        </w:rPr>
        <w:t>（6）响应文件不符合有关法律、法规和规章或</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中规定的其他实质性要求的。</w:t>
      </w:r>
    </w:p>
    <w:p w14:paraId="0EF3A9A7">
      <w:pPr>
        <w:pStyle w:val="11"/>
        <w:jc w:val="center"/>
        <w:outlineLvl w:val="2"/>
        <w:rPr>
          <w:highlight w:val="none"/>
        </w:rPr>
      </w:pPr>
      <w:r>
        <w:rPr>
          <w:rFonts w:ascii="仿宋_GB2312" w:hAnsi="仿宋_GB2312" w:eastAsia="仿宋_GB2312" w:cs="仿宋_GB2312"/>
          <w:b/>
          <w:sz w:val="28"/>
          <w:highlight w:val="none"/>
        </w:rPr>
        <w:t>五、报价会</w:t>
      </w:r>
    </w:p>
    <w:p w14:paraId="765E2A5B">
      <w:pPr>
        <w:pStyle w:val="11"/>
        <w:jc w:val="both"/>
        <w:rPr>
          <w:highlight w:val="none"/>
        </w:rPr>
      </w:pPr>
      <w:r>
        <w:rPr>
          <w:rFonts w:ascii="仿宋_GB2312" w:hAnsi="仿宋_GB2312" w:eastAsia="仿宋_GB2312" w:cs="仿宋_GB2312"/>
          <w:highlight w:val="none"/>
        </w:rPr>
        <w:t>10、报价</w:t>
      </w:r>
    </w:p>
    <w:p w14:paraId="51F81739">
      <w:pPr>
        <w:pStyle w:val="11"/>
        <w:ind w:firstLine="480"/>
        <w:jc w:val="both"/>
        <w:rPr>
          <w:highlight w:val="none"/>
        </w:rPr>
      </w:pPr>
      <w:r>
        <w:rPr>
          <w:rFonts w:ascii="仿宋_GB2312" w:hAnsi="仿宋_GB2312" w:eastAsia="仿宋_GB2312" w:cs="仿宋_GB2312"/>
          <w:highlight w:val="none"/>
        </w:rPr>
        <w:t>10.1报价在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时间及地点进行。</w:t>
      </w:r>
    </w:p>
    <w:p w14:paraId="344E5AE9">
      <w:pPr>
        <w:pStyle w:val="11"/>
        <w:ind w:firstLine="480"/>
        <w:jc w:val="both"/>
        <w:rPr>
          <w:highlight w:val="none"/>
        </w:rPr>
      </w:pPr>
      <w:r>
        <w:rPr>
          <w:rFonts w:ascii="仿宋_GB2312" w:hAnsi="仿宋_GB2312" w:eastAsia="仿宋_GB2312" w:cs="仿宋_GB2312"/>
          <w:highlight w:val="none"/>
        </w:rPr>
        <w:t>10.2提交响应文件截止时间后，参加</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的供应商不足三家的，不进行响应文件开启活动。同时，本次采购活动终止，采购代理机构将</w:t>
      </w:r>
      <w:r>
        <w:rPr>
          <w:rFonts w:hint="eastAsia" w:ascii="仿宋_GB2312" w:hAnsi="仿宋_GB2312" w:eastAsia="仿宋_GB2312" w:cs="仿宋_GB2312"/>
          <w:highlight w:val="none"/>
          <w:lang w:val="en-US" w:eastAsia="zh-CN"/>
        </w:rPr>
        <w:t>重新</w:t>
      </w:r>
      <w:r>
        <w:rPr>
          <w:rFonts w:ascii="仿宋_GB2312" w:hAnsi="仿宋_GB2312" w:eastAsia="仿宋_GB2312" w:cs="仿宋_GB2312"/>
          <w:highlight w:val="none"/>
        </w:rPr>
        <w:t>组织后续采购活动（包括但不限于重新采购、采用其他方式采购、终止采购等）。</w:t>
      </w:r>
    </w:p>
    <w:p w14:paraId="51CB1A49">
      <w:pPr>
        <w:pStyle w:val="11"/>
        <w:ind w:firstLine="480"/>
        <w:jc w:val="both"/>
        <w:rPr>
          <w:highlight w:val="none"/>
        </w:rPr>
      </w:pPr>
      <w:r>
        <w:rPr>
          <w:rFonts w:ascii="仿宋_GB2312" w:hAnsi="仿宋_GB2312" w:eastAsia="仿宋_GB2312" w:cs="仿宋_GB2312"/>
          <w:highlight w:val="none"/>
        </w:rPr>
        <w:t>10.3报价会由采购代理机构主持。报价会的主持人、唱标人、记录人及工作人员均由采购代理机构派出，现场监督人员由采购人派出；参加</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的供应商也应派出代表参加，未参加的，视同认可报价会结果。</w:t>
      </w:r>
    </w:p>
    <w:p w14:paraId="798783A2">
      <w:pPr>
        <w:pStyle w:val="11"/>
        <w:ind w:firstLine="480"/>
        <w:jc w:val="both"/>
        <w:rPr>
          <w:highlight w:val="none"/>
        </w:rPr>
      </w:pPr>
      <w:r>
        <w:rPr>
          <w:rFonts w:ascii="仿宋_GB2312" w:hAnsi="仿宋_GB2312" w:eastAsia="仿宋_GB2312" w:cs="仿宋_GB2312"/>
          <w:highlight w:val="none"/>
        </w:rPr>
        <w:t>10.4参加报价会的供应商代表应签到，非供应商不参加报价会。</w:t>
      </w:r>
    </w:p>
    <w:p w14:paraId="10BFAA5F">
      <w:pPr>
        <w:pStyle w:val="11"/>
        <w:ind w:firstLine="480"/>
        <w:jc w:val="both"/>
        <w:rPr>
          <w:highlight w:val="none"/>
        </w:rPr>
      </w:pPr>
      <w:r>
        <w:rPr>
          <w:rFonts w:ascii="仿宋_GB2312" w:hAnsi="仿宋_GB2312" w:eastAsia="仿宋_GB2312" w:cs="仿宋_GB2312"/>
          <w:highlight w:val="none"/>
        </w:rPr>
        <w:t>10.5报价会应遵守下列规定：</w:t>
      </w:r>
    </w:p>
    <w:p w14:paraId="7B4D2DB3">
      <w:pPr>
        <w:pStyle w:val="11"/>
        <w:ind w:firstLine="480"/>
        <w:jc w:val="both"/>
        <w:rPr>
          <w:highlight w:val="none"/>
        </w:rPr>
      </w:pPr>
      <w:r>
        <w:rPr>
          <w:rFonts w:ascii="仿宋_GB2312" w:hAnsi="仿宋_GB2312" w:eastAsia="仿宋_GB2312" w:cs="仿宋_GB2312"/>
          <w:highlight w:val="none"/>
        </w:rPr>
        <w:t>（1）首先由主持人宣读报价会须知，然后在现场监督人员的见证下，由供应商代表或者其推选的代表对响应文件的密封情况进行检查。密封经确认无误后，由工作人员或供应商代表对密封的响应文件当众拆封。</w:t>
      </w:r>
    </w:p>
    <w:p w14:paraId="1709C9E6">
      <w:pPr>
        <w:pStyle w:val="11"/>
        <w:ind w:firstLine="480"/>
        <w:jc w:val="both"/>
        <w:rPr>
          <w:highlight w:val="none"/>
        </w:rPr>
      </w:pPr>
      <w:r>
        <w:rPr>
          <w:rFonts w:ascii="仿宋_GB2312" w:hAnsi="仿宋_GB2312" w:eastAsia="仿宋_GB2312" w:cs="仿宋_GB2312"/>
          <w:highlight w:val="none"/>
        </w:rPr>
        <w:t>（2）唱标时，唱标人先宣读各供应商关于响应文件补充、修改或撤回的书面通知（若有），再宣读各供应商名称、报价和</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规定的需要宣布的其他内容，记录人对唱标内容作记录。</w:t>
      </w:r>
    </w:p>
    <w:p w14:paraId="15F3E43C">
      <w:pPr>
        <w:pStyle w:val="11"/>
        <w:ind w:firstLine="480"/>
        <w:jc w:val="both"/>
        <w:rPr>
          <w:highlight w:val="none"/>
        </w:rPr>
      </w:pPr>
      <w:r>
        <w:rPr>
          <w:rFonts w:ascii="仿宋_GB2312" w:hAnsi="仿宋_GB2312" w:eastAsia="仿宋_GB2312" w:cs="仿宋_GB2312"/>
          <w:highlight w:val="none"/>
        </w:rPr>
        <w:t>（3）唱标结束后，供应商代表应对记录进行签字确认。供应商代表的签字确认，视为供应商对报价过程及记录予以认可。供应商代表拒绝签字确认且无合法理由，亦视为供应商对报价过程及记录予以认可。</w:t>
      </w:r>
    </w:p>
    <w:p w14:paraId="64FB5C6F">
      <w:pPr>
        <w:pStyle w:val="11"/>
        <w:ind w:firstLine="480"/>
        <w:jc w:val="both"/>
        <w:rPr>
          <w:highlight w:val="none"/>
        </w:rPr>
      </w:pPr>
      <w:r>
        <w:rPr>
          <w:rFonts w:ascii="仿宋_GB2312" w:hAnsi="仿宋_GB2312" w:eastAsia="仿宋_GB2312" w:cs="仿宋_GB2312"/>
          <w:highlight w:val="none"/>
        </w:rPr>
        <w:t>（4）供应商代表对报价过程或记录若有异议，应以书面形式当场向主持人提出，否则，视为供应商对报价过程及记录予以认可。</w:t>
      </w:r>
    </w:p>
    <w:p w14:paraId="2CE49EA7">
      <w:pPr>
        <w:pStyle w:val="11"/>
        <w:ind w:firstLine="480"/>
        <w:jc w:val="both"/>
        <w:rPr>
          <w:highlight w:val="none"/>
        </w:rPr>
      </w:pPr>
      <w:r>
        <w:rPr>
          <w:rFonts w:ascii="仿宋_GB2312" w:hAnsi="仿宋_GB2312" w:eastAsia="仿宋_GB2312" w:cs="仿宋_GB2312"/>
          <w:highlight w:val="none"/>
        </w:rPr>
        <w:t>（5）若供应商代表未参加报价会（包括但不限于供应商派出的人员不是供应商代表），则视为供应商对报价过程及记录予以认可。</w:t>
      </w:r>
    </w:p>
    <w:p w14:paraId="3A580096">
      <w:pPr>
        <w:pStyle w:val="11"/>
        <w:ind w:firstLine="480"/>
        <w:jc w:val="both"/>
        <w:rPr>
          <w:highlight w:val="none"/>
        </w:rPr>
      </w:pPr>
      <w:r>
        <w:rPr>
          <w:rFonts w:ascii="仿宋_GB2312" w:hAnsi="仿宋_GB2312" w:eastAsia="仿宋_GB2312" w:cs="仿宋_GB2312"/>
          <w:highlight w:val="none"/>
        </w:rPr>
        <w:t>※若出现本条第（3）、（4）、（5）款规定情形，则供应商不得在报价会后以响应文件的提交、响应文件的密封、采购方报价及报价会过程或记录等有关事由向采购方提出任何异议或要求（包括质疑）。</w:t>
      </w:r>
    </w:p>
    <w:p w14:paraId="39937B9F">
      <w:pPr>
        <w:pStyle w:val="11"/>
        <w:jc w:val="center"/>
        <w:outlineLvl w:val="2"/>
        <w:rPr>
          <w:highlight w:val="none"/>
        </w:rPr>
      </w:pPr>
      <w:r>
        <w:rPr>
          <w:rFonts w:ascii="仿宋_GB2312" w:hAnsi="仿宋_GB2312" w:eastAsia="仿宋_GB2312" w:cs="仿宋_GB2312"/>
          <w:b/>
          <w:sz w:val="28"/>
          <w:highlight w:val="none"/>
        </w:rPr>
        <w:t>六、成交与采购合同</w:t>
      </w:r>
    </w:p>
    <w:p w14:paraId="10DE2714">
      <w:pPr>
        <w:pStyle w:val="11"/>
        <w:jc w:val="both"/>
        <w:rPr>
          <w:highlight w:val="none"/>
        </w:rPr>
      </w:pPr>
      <w:r>
        <w:rPr>
          <w:rFonts w:ascii="仿宋_GB2312" w:hAnsi="仿宋_GB2312" w:eastAsia="仿宋_GB2312" w:cs="仿宋_GB2312"/>
          <w:highlight w:val="none"/>
        </w:rPr>
        <w:t>11、成交</w:t>
      </w:r>
    </w:p>
    <w:p w14:paraId="606085D8">
      <w:pPr>
        <w:pStyle w:val="11"/>
        <w:ind w:firstLine="480"/>
        <w:jc w:val="left"/>
        <w:rPr>
          <w:highlight w:val="none"/>
        </w:rPr>
      </w:pPr>
      <w:r>
        <w:rPr>
          <w:rFonts w:ascii="仿宋_GB2312" w:hAnsi="仿宋_GB2312" w:eastAsia="仿宋_GB2312" w:cs="仿宋_GB2312"/>
          <w:highlight w:val="none"/>
        </w:rPr>
        <w:t>11.1确定成交： 本项目按照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w:t>
      </w:r>
      <w:r>
        <w:rPr>
          <w:rFonts w:hint="eastAsia" w:ascii="仿宋_GB2312" w:hAnsi="仿宋_GB2312" w:eastAsia="仿宋_GB2312" w:cs="仿宋_GB2312"/>
          <w:highlight w:val="none"/>
          <w:lang w:eastAsia="zh-CN"/>
        </w:rPr>
        <w:t>三</w:t>
      </w:r>
      <w:r>
        <w:rPr>
          <w:rFonts w:ascii="仿宋_GB2312" w:hAnsi="仿宋_GB2312" w:eastAsia="仿宋_GB2312" w:cs="仿宋_GB2312"/>
          <w:highlight w:val="none"/>
        </w:rPr>
        <w:t>章规定推荐相应的成交候选人,采购人应当在收到评审报告后5个工作日内，从评审报告提出的成交候选人中确定成交人，也可以书面授权</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小组直接确定成交人。</w:t>
      </w:r>
    </w:p>
    <w:p w14:paraId="5A68FF29">
      <w:pPr>
        <w:pStyle w:val="11"/>
        <w:jc w:val="both"/>
        <w:rPr>
          <w:highlight w:val="none"/>
        </w:rPr>
      </w:pPr>
      <w:r>
        <w:rPr>
          <w:rFonts w:ascii="仿宋_GB2312" w:hAnsi="仿宋_GB2312" w:eastAsia="仿宋_GB2312" w:cs="仿宋_GB2312"/>
          <w:highlight w:val="none"/>
        </w:rPr>
        <w:t>11.2</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终止：</w:t>
      </w:r>
    </w:p>
    <w:p w14:paraId="55BCE714">
      <w:pPr>
        <w:pStyle w:val="11"/>
        <w:ind w:firstLine="480"/>
        <w:jc w:val="both"/>
        <w:rPr>
          <w:highlight w:val="none"/>
        </w:rPr>
      </w:pPr>
      <w:r>
        <w:rPr>
          <w:rFonts w:ascii="仿宋_GB2312" w:hAnsi="仿宋_GB2312" w:eastAsia="仿宋_GB2312" w:cs="仿宋_GB2312"/>
          <w:highlight w:val="none"/>
        </w:rPr>
        <w:t>（1）出现下列情形之一的，采购代理机构应当终止</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采购活动，发布项目终止公告并说明原因，重新开展采购活动：</w:t>
      </w:r>
    </w:p>
    <w:p w14:paraId="394C0C61">
      <w:pPr>
        <w:pStyle w:val="11"/>
        <w:ind w:firstLine="480"/>
        <w:jc w:val="both"/>
        <w:rPr>
          <w:highlight w:val="none"/>
        </w:rPr>
      </w:pPr>
      <w:r>
        <w:rPr>
          <w:rFonts w:ascii="仿宋_GB2312" w:hAnsi="仿宋_GB2312" w:eastAsia="仿宋_GB2312" w:cs="仿宋_GB2312"/>
          <w:highlight w:val="none"/>
        </w:rPr>
        <w:t>①因情况变化，不再符合规定的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采购方式适用情形的；</w:t>
      </w:r>
    </w:p>
    <w:p w14:paraId="27BF2E87">
      <w:pPr>
        <w:pStyle w:val="11"/>
        <w:ind w:firstLine="480"/>
        <w:jc w:val="both"/>
        <w:rPr>
          <w:highlight w:val="none"/>
        </w:rPr>
      </w:pPr>
      <w:r>
        <w:rPr>
          <w:rFonts w:ascii="仿宋_GB2312" w:hAnsi="仿宋_GB2312" w:eastAsia="仿宋_GB2312" w:cs="仿宋_GB2312"/>
          <w:highlight w:val="none"/>
        </w:rPr>
        <w:t>②出现影响采购公正的违法、违规行为的；</w:t>
      </w:r>
    </w:p>
    <w:p w14:paraId="68565ACC">
      <w:pPr>
        <w:pStyle w:val="11"/>
        <w:ind w:firstLine="480"/>
        <w:jc w:val="both"/>
        <w:rPr>
          <w:highlight w:val="none"/>
        </w:rPr>
      </w:pPr>
      <w:r>
        <w:rPr>
          <w:rFonts w:ascii="仿宋_GB2312" w:hAnsi="仿宋_GB2312" w:eastAsia="仿宋_GB2312" w:cs="仿宋_GB2312"/>
          <w:highlight w:val="none"/>
        </w:rPr>
        <w:t>③在采购过程中符合竞争要求的供应商或报价未超过采购最高限价的供应商不足3家的。</w:t>
      </w:r>
    </w:p>
    <w:p w14:paraId="536C227D">
      <w:pPr>
        <w:pStyle w:val="11"/>
        <w:ind w:firstLine="480"/>
        <w:jc w:val="both"/>
        <w:rPr>
          <w:highlight w:val="none"/>
        </w:rPr>
      </w:pPr>
      <w:r>
        <w:rPr>
          <w:rFonts w:ascii="仿宋_GB2312" w:hAnsi="仿宋_GB2312" w:eastAsia="仿宋_GB2312" w:cs="仿宋_GB2312"/>
          <w:highlight w:val="none"/>
        </w:rPr>
        <w:t>（2）因重大变故，采购任务取消的，采购代理机构应当终止采购活动，并通知所有参加采购活动的供应商</w:t>
      </w:r>
    </w:p>
    <w:p w14:paraId="4646FE69">
      <w:pPr>
        <w:pStyle w:val="11"/>
        <w:jc w:val="both"/>
        <w:rPr>
          <w:highlight w:val="none"/>
        </w:rPr>
      </w:pPr>
      <w:r>
        <w:rPr>
          <w:rFonts w:ascii="仿宋_GB2312" w:hAnsi="仿宋_GB2312" w:eastAsia="仿宋_GB2312" w:cs="仿宋_GB2312"/>
          <w:highlight w:val="none"/>
        </w:rPr>
        <w:t>11.3成交公告</w:t>
      </w:r>
    </w:p>
    <w:p w14:paraId="15F5A67A">
      <w:pPr>
        <w:pStyle w:val="11"/>
        <w:ind w:firstLine="480"/>
        <w:jc w:val="both"/>
        <w:rPr>
          <w:highlight w:val="none"/>
        </w:rPr>
      </w:pPr>
      <w:r>
        <w:rPr>
          <w:rFonts w:ascii="仿宋_GB2312" w:hAnsi="仿宋_GB2312" w:eastAsia="仿宋_GB2312" w:cs="仿宋_GB2312"/>
          <w:highlight w:val="none"/>
        </w:rPr>
        <w:t>（1）成交人确定之日起2个工作日内，采购代理机构将在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载明的指定媒体以成交公告的形式发布成交结果。</w:t>
      </w:r>
    </w:p>
    <w:p w14:paraId="0410B731">
      <w:pPr>
        <w:pStyle w:val="11"/>
        <w:ind w:firstLine="480"/>
        <w:jc w:val="both"/>
        <w:rPr>
          <w:highlight w:val="none"/>
        </w:rPr>
      </w:pPr>
      <w:r>
        <w:rPr>
          <w:rFonts w:ascii="仿宋_GB2312" w:hAnsi="仿宋_GB2312" w:eastAsia="仿宋_GB2312" w:cs="仿宋_GB2312"/>
          <w:highlight w:val="none"/>
        </w:rPr>
        <w:t>（2）成交公告的公告期限为1个工作日。</w:t>
      </w:r>
    </w:p>
    <w:p w14:paraId="42D78E1E">
      <w:pPr>
        <w:pStyle w:val="11"/>
        <w:jc w:val="both"/>
        <w:rPr>
          <w:highlight w:val="none"/>
        </w:rPr>
      </w:pPr>
      <w:r>
        <w:rPr>
          <w:rFonts w:ascii="仿宋_GB2312" w:hAnsi="仿宋_GB2312" w:eastAsia="仿宋_GB2312" w:cs="仿宋_GB2312"/>
          <w:highlight w:val="none"/>
        </w:rPr>
        <w:t>11.4成交通知书</w:t>
      </w:r>
    </w:p>
    <w:p w14:paraId="3290BDAA">
      <w:pPr>
        <w:pStyle w:val="11"/>
        <w:ind w:firstLine="480"/>
        <w:jc w:val="both"/>
        <w:rPr>
          <w:highlight w:val="none"/>
        </w:rPr>
      </w:pPr>
      <w:r>
        <w:rPr>
          <w:rFonts w:ascii="仿宋_GB2312" w:hAnsi="仿宋_GB2312" w:eastAsia="仿宋_GB2312" w:cs="仿宋_GB2312"/>
          <w:highlight w:val="none"/>
        </w:rPr>
        <w:t>（1）成交公告发布的同时，采购代理机构将向成交人发出成交通知书。</w:t>
      </w:r>
    </w:p>
    <w:p w14:paraId="1B7D0ECC">
      <w:pPr>
        <w:pStyle w:val="11"/>
        <w:ind w:firstLine="480"/>
        <w:jc w:val="both"/>
        <w:rPr>
          <w:highlight w:val="none"/>
        </w:rPr>
      </w:pPr>
      <w:r>
        <w:rPr>
          <w:rFonts w:ascii="仿宋_GB2312" w:hAnsi="仿宋_GB2312" w:eastAsia="仿宋_GB2312" w:cs="仿宋_GB2312"/>
          <w:highlight w:val="none"/>
        </w:rPr>
        <w:t>（2）成交通知书对采购人和成交人具有同等法律效力。</w:t>
      </w:r>
    </w:p>
    <w:p w14:paraId="47C1178D">
      <w:pPr>
        <w:pStyle w:val="11"/>
        <w:ind w:firstLine="480"/>
        <w:jc w:val="both"/>
        <w:rPr>
          <w:highlight w:val="none"/>
        </w:rPr>
      </w:pPr>
      <w:r>
        <w:rPr>
          <w:rFonts w:ascii="仿宋_GB2312" w:hAnsi="仿宋_GB2312" w:eastAsia="仿宋_GB2312" w:cs="仿宋_GB2312"/>
          <w:highlight w:val="none"/>
        </w:rPr>
        <w:t>（3）成交通知书发出后，成交人放弃成交的，应依法承担法律责任。</w:t>
      </w:r>
    </w:p>
    <w:p w14:paraId="0993B6FF">
      <w:pPr>
        <w:pStyle w:val="11"/>
        <w:jc w:val="both"/>
        <w:rPr>
          <w:highlight w:val="none"/>
        </w:rPr>
      </w:pPr>
      <w:r>
        <w:rPr>
          <w:rFonts w:ascii="仿宋_GB2312" w:hAnsi="仿宋_GB2312" w:eastAsia="仿宋_GB2312" w:cs="仿宋_GB2312"/>
          <w:highlight w:val="none"/>
        </w:rPr>
        <w:t>12、采购合同</w:t>
      </w:r>
    </w:p>
    <w:p w14:paraId="4F013FE9">
      <w:pPr>
        <w:pStyle w:val="11"/>
        <w:ind w:firstLine="480"/>
        <w:jc w:val="both"/>
        <w:rPr>
          <w:highlight w:val="none"/>
        </w:rPr>
      </w:pPr>
      <w:r>
        <w:rPr>
          <w:rFonts w:ascii="仿宋_GB2312" w:hAnsi="仿宋_GB2312" w:eastAsia="仿宋_GB2312" w:cs="仿宋_GB2312"/>
          <w:highlight w:val="none"/>
        </w:rPr>
        <w:t>12.1签订采购合同应遵守</w:t>
      </w:r>
      <w:r>
        <w:rPr>
          <w:rFonts w:hint="eastAsia" w:ascii="仿宋_GB2312" w:hAnsi="仿宋_GB2312" w:eastAsia="仿宋_GB2312" w:cs="仿宋_GB2312"/>
          <w:highlight w:val="none"/>
          <w:lang w:eastAsia="zh-CN"/>
        </w:rPr>
        <w:t>有关法律法规</w:t>
      </w:r>
      <w:r>
        <w:rPr>
          <w:rFonts w:ascii="仿宋_GB2312" w:hAnsi="仿宋_GB2312" w:eastAsia="仿宋_GB2312" w:cs="仿宋_GB2312"/>
          <w:highlight w:val="none"/>
        </w:rPr>
        <w:t>规定，不得对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和成交人的响应文件作实质性修改。采购人不得提出任何不合理要求作为采购合同的签订条件。</w:t>
      </w:r>
    </w:p>
    <w:p w14:paraId="5EF5EBBD">
      <w:pPr>
        <w:pStyle w:val="11"/>
        <w:ind w:firstLine="480"/>
        <w:jc w:val="both"/>
        <w:rPr>
          <w:highlight w:val="none"/>
        </w:rPr>
      </w:pPr>
      <w:r>
        <w:rPr>
          <w:rFonts w:ascii="仿宋_GB2312" w:hAnsi="仿宋_GB2312" w:eastAsia="仿宋_GB2312" w:cs="仿宋_GB2312"/>
          <w:highlight w:val="none"/>
        </w:rPr>
        <w:t>12.2签订时限：详见须知前附表的12.2。</w:t>
      </w:r>
    </w:p>
    <w:p w14:paraId="0DC70FBC">
      <w:pPr>
        <w:pStyle w:val="11"/>
        <w:ind w:firstLine="480"/>
        <w:jc w:val="both"/>
        <w:rPr>
          <w:highlight w:val="none"/>
        </w:rPr>
      </w:pPr>
      <w:r>
        <w:rPr>
          <w:rFonts w:ascii="仿宋_GB2312" w:hAnsi="仿宋_GB2312" w:eastAsia="仿宋_GB2312" w:cs="仿宋_GB2312"/>
          <w:highlight w:val="none"/>
        </w:rPr>
        <w:t>12.3采购合同的履行、违约责任和解决争议的方法等适用民法典。</w:t>
      </w:r>
    </w:p>
    <w:p w14:paraId="766C852B">
      <w:pPr>
        <w:pStyle w:val="11"/>
        <w:ind w:firstLine="480"/>
        <w:jc w:val="both"/>
        <w:rPr>
          <w:highlight w:val="none"/>
        </w:rPr>
      </w:pPr>
      <w:r>
        <w:rPr>
          <w:rFonts w:ascii="仿宋_GB2312" w:hAnsi="仿宋_GB2312" w:eastAsia="仿宋_GB2312" w:cs="仿宋_GB2312"/>
          <w:highlight w:val="none"/>
        </w:rPr>
        <w:t>12.4采购合同履行过程中，采购人若需追加与合同标的相同的货物或服务，则追加采购金额不得超过原合同采购金额的10%。</w:t>
      </w:r>
    </w:p>
    <w:p w14:paraId="5B2FD6A8">
      <w:pPr>
        <w:pStyle w:val="11"/>
        <w:ind w:firstLine="480"/>
        <w:jc w:val="both"/>
        <w:rPr>
          <w:highlight w:val="none"/>
        </w:rPr>
      </w:pPr>
      <w:r>
        <w:rPr>
          <w:rFonts w:ascii="仿宋_GB2312" w:hAnsi="仿宋_GB2312" w:eastAsia="仿宋_GB2312" w:cs="仿宋_GB2312"/>
          <w:highlight w:val="none"/>
        </w:rPr>
        <w:t>12.5成交人在采购合同履行过程中应遵守有关法律、法规和规章的强制性规定（即使前述强制性规定有可能在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中未予列明）。</w:t>
      </w:r>
    </w:p>
    <w:p w14:paraId="1F949939">
      <w:pPr>
        <w:pStyle w:val="11"/>
        <w:ind w:firstLine="480"/>
        <w:jc w:val="both"/>
        <w:rPr>
          <w:highlight w:val="none"/>
        </w:rPr>
      </w:pPr>
      <w:r>
        <w:rPr>
          <w:rFonts w:ascii="仿宋_GB2312" w:hAnsi="仿宋_GB2312" w:eastAsia="仿宋_GB2312" w:cs="仿宋_GB2312"/>
          <w:highlight w:val="none"/>
        </w:rPr>
        <w:t>12.6成交人有下列情形之一的，应依法承担违约责任：</w:t>
      </w:r>
    </w:p>
    <w:p w14:paraId="378971C0">
      <w:pPr>
        <w:pStyle w:val="11"/>
        <w:ind w:firstLine="480"/>
        <w:jc w:val="both"/>
        <w:rPr>
          <w:highlight w:val="none"/>
        </w:rPr>
      </w:pPr>
      <w:r>
        <w:rPr>
          <w:rFonts w:ascii="仿宋_GB2312" w:hAnsi="仿宋_GB2312" w:eastAsia="仿宋_GB2312" w:cs="仿宋_GB2312"/>
          <w:highlight w:val="none"/>
        </w:rPr>
        <w:t>（1）在履行期限届满前，明确表示或以自己的行为表明不履行合同；</w:t>
      </w:r>
    </w:p>
    <w:p w14:paraId="4D55349D">
      <w:pPr>
        <w:pStyle w:val="11"/>
        <w:ind w:firstLine="480"/>
        <w:jc w:val="both"/>
        <w:rPr>
          <w:highlight w:val="none"/>
        </w:rPr>
      </w:pPr>
      <w:r>
        <w:rPr>
          <w:rFonts w:ascii="仿宋_GB2312" w:hAnsi="仿宋_GB2312" w:eastAsia="仿宋_GB2312" w:cs="仿宋_GB2312"/>
          <w:highlight w:val="none"/>
        </w:rPr>
        <w:t>（2）迟延履行合同，经催告后在合理期限内仍未履行；</w:t>
      </w:r>
    </w:p>
    <w:p w14:paraId="77EC93E6">
      <w:pPr>
        <w:pStyle w:val="11"/>
        <w:ind w:firstLine="480"/>
        <w:jc w:val="both"/>
        <w:rPr>
          <w:highlight w:val="none"/>
        </w:rPr>
      </w:pPr>
      <w:r>
        <w:rPr>
          <w:rFonts w:ascii="仿宋_GB2312" w:hAnsi="仿宋_GB2312" w:eastAsia="仿宋_GB2312" w:cs="仿宋_GB2312"/>
          <w:highlight w:val="none"/>
        </w:rPr>
        <w:t>（3）有其他违约行为致使不能实现合同目的；</w:t>
      </w:r>
    </w:p>
    <w:p w14:paraId="53282159">
      <w:pPr>
        <w:pStyle w:val="11"/>
        <w:ind w:firstLine="480"/>
        <w:jc w:val="both"/>
        <w:rPr>
          <w:highlight w:val="none"/>
        </w:rPr>
      </w:pPr>
      <w:r>
        <w:rPr>
          <w:rFonts w:ascii="仿宋_GB2312" w:hAnsi="仿宋_GB2312" w:eastAsia="仿宋_GB2312" w:cs="仿宋_GB2312"/>
          <w:highlight w:val="none"/>
        </w:rPr>
        <w:t>（4）将合同转包，或未经采购人同意采取分包方式履行合同。</w:t>
      </w:r>
    </w:p>
    <w:p w14:paraId="4715CC27">
      <w:pPr>
        <w:pStyle w:val="11"/>
        <w:jc w:val="center"/>
        <w:outlineLvl w:val="2"/>
        <w:rPr>
          <w:highlight w:val="none"/>
        </w:rPr>
      </w:pPr>
      <w:r>
        <w:rPr>
          <w:rFonts w:ascii="仿宋_GB2312" w:hAnsi="仿宋_GB2312" w:eastAsia="仿宋_GB2312" w:cs="仿宋_GB2312"/>
          <w:b/>
          <w:sz w:val="28"/>
          <w:highlight w:val="none"/>
        </w:rPr>
        <w:t>七、询问、质疑与投诉</w:t>
      </w:r>
    </w:p>
    <w:p w14:paraId="7B313FF5">
      <w:pPr>
        <w:pStyle w:val="11"/>
        <w:jc w:val="both"/>
        <w:rPr>
          <w:highlight w:val="none"/>
        </w:rPr>
      </w:pPr>
      <w:r>
        <w:rPr>
          <w:rFonts w:ascii="仿宋_GB2312" w:hAnsi="仿宋_GB2312" w:eastAsia="仿宋_GB2312" w:cs="仿宋_GB2312"/>
          <w:highlight w:val="none"/>
        </w:rPr>
        <w:t>13、询问</w:t>
      </w:r>
    </w:p>
    <w:p w14:paraId="40C20335">
      <w:pPr>
        <w:pStyle w:val="11"/>
        <w:ind w:firstLine="480"/>
        <w:jc w:val="both"/>
        <w:rPr>
          <w:highlight w:val="none"/>
        </w:rPr>
      </w:pPr>
      <w:r>
        <w:rPr>
          <w:rFonts w:ascii="仿宋_GB2312" w:hAnsi="仿宋_GB2312" w:eastAsia="仿宋_GB2312" w:cs="仿宋_GB2312"/>
          <w:highlight w:val="none"/>
        </w:rPr>
        <w:t>13.1潜在供应商或供应商对本次采购活动的有关事项若有疑问，可向采购人或采购代理机构提出询问，采购人或采购代理机构将按照有关规定进行答复。</w:t>
      </w:r>
    </w:p>
    <w:p w14:paraId="3C1C7A77">
      <w:pPr>
        <w:pStyle w:val="11"/>
        <w:jc w:val="both"/>
        <w:rPr>
          <w:highlight w:val="none"/>
        </w:rPr>
      </w:pPr>
      <w:r>
        <w:rPr>
          <w:rFonts w:ascii="仿宋_GB2312" w:hAnsi="仿宋_GB2312" w:eastAsia="仿宋_GB2312" w:cs="仿宋_GB2312"/>
          <w:highlight w:val="none"/>
        </w:rPr>
        <w:t>14、质疑</w:t>
      </w:r>
    </w:p>
    <w:p w14:paraId="3DC66C85">
      <w:pPr>
        <w:pStyle w:val="11"/>
        <w:ind w:firstLine="480"/>
        <w:jc w:val="both"/>
        <w:rPr>
          <w:highlight w:val="none"/>
        </w:rPr>
      </w:pPr>
      <w:r>
        <w:rPr>
          <w:rFonts w:ascii="仿宋_GB2312" w:hAnsi="仿宋_GB2312" w:eastAsia="仿宋_GB2312" w:cs="仿宋_GB2312"/>
          <w:highlight w:val="none"/>
        </w:rPr>
        <w:t>14.1质疑应在</w:t>
      </w:r>
      <w:r>
        <w:rPr>
          <w:rFonts w:hint="eastAsia" w:ascii="仿宋_GB2312" w:hAnsi="仿宋_GB2312" w:eastAsia="仿宋_GB2312" w:cs="仿宋_GB2312"/>
          <w:highlight w:val="none"/>
          <w:lang w:eastAsia="zh-CN"/>
        </w:rPr>
        <w:t>知道或者应当知道其权益受到损害之日起</w:t>
      </w:r>
      <w:r>
        <w:rPr>
          <w:rFonts w:hint="eastAsia" w:ascii="仿宋_GB2312" w:hAnsi="仿宋_GB2312" w:eastAsia="仿宋_GB2312" w:cs="仿宋_GB2312"/>
          <w:highlight w:val="none"/>
          <w:lang w:val="en-US" w:eastAsia="zh-CN"/>
        </w:rPr>
        <w:t>7个工作日内书面向采购人提出质疑并提供证明材料</w:t>
      </w:r>
      <w:r>
        <w:rPr>
          <w:rFonts w:hint="eastAsia" w:ascii="仿宋_GB2312" w:hAnsi="仿宋_GB2312" w:eastAsia="仿宋_GB2312" w:cs="仿宋_GB2312"/>
          <w:highlight w:val="none"/>
          <w:lang w:eastAsia="zh-CN"/>
        </w:rPr>
        <w:t>，采购人在收到质疑后</w:t>
      </w:r>
      <w:r>
        <w:rPr>
          <w:rFonts w:hint="eastAsia" w:ascii="仿宋_GB2312" w:hAnsi="仿宋_GB2312" w:eastAsia="仿宋_GB2312" w:cs="仿宋_GB2312"/>
          <w:highlight w:val="none"/>
          <w:lang w:val="en-US" w:eastAsia="zh-CN"/>
        </w:rPr>
        <w:t>7个工作日内作出书面答复，</w:t>
      </w:r>
      <w:r>
        <w:rPr>
          <w:rFonts w:ascii="仿宋_GB2312" w:hAnsi="仿宋_GB2312" w:eastAsia="仿宋_GB2312" w:cs="仿宋_GB2312"/>
          <w:highlight w:val="none"/>
        </w:rPr>
        <w:t>并符合下列条件：</w:t>
      </w:r>
    </w:p>
    <w:p w14:paraId="73ED6386">
      <w:pPr>
        <w:pStyle w:val="11"/>
        <w:ind w:firstLine="480"/>
        <w:jc w:val="both"/>
        <w:rPr>
          <w:highlight w:val="none"/>
        </w:rPr>
      </w:pPr>
      <w:r>
        <w:rPr>
          <w:rFonts w:ascii="仿宋_GB2312" w:hAnsi="仿宋_GB2312" w:eastAsia="仿宋_GB2312" w:cs="仿宋_GB2312"/>
          <w:highlight w:val="none"/>
        </w:rPr>
        <w:t>（1）对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提出质疑的，质疑人应为潜在供应商，且两者的身份、名称等均应保持一致。对采购过程、结果提出质疑的，质疑人应为供应商，且两者的身份、名称等均应保持一致。</w:t>
      </w:r>
    </w:p>
    <w:p w14:paraId="1AF38853">
      <w:pPr>
        <w:pStyle w:val="11"/>
        <w:ind w:firstLine="480"/>
        <w:jc w:val="both"/>
        <w:rPr>
          <w:highlight w:val="none"/>
        </w:rPr>
      </w:pPr>
      <w:r>
        <w:rPr>
          <w:rFonts w:ascii="仿宋_GB2312" w:hAnsi="仿宋_GB2312" w:eastAsia="仿宋_GB2312" w:cs="仿宋_GB2312"/>
          <w:highlight w:val="none"/>
        </w:rPr>
        <w:t>（2）质疑人应按照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第二章规定方式提交质疑函原件。</w:t>
      </w:r>
    </w:p>
    <w:p w14:paraId="6533FBA8">
      <w:pPr>
        <w:pStyle w:val="11"/>
        <w:ind w:firstLine="480"/>
        <w:jc w:val="both"/>
        <w:rPr>
          <w:highlight w:val="none"/>
        </w:rPr>
      </w:pPr>
      <w:r>
        <w:rPr>
          <w:rFonts w:ascii="仿宋_GB2312" w:hAnsi="仿宋_GB2312" w:eastAsia="仿宋_GB2312" w:cs="仿宋_GB2312"/>
          <w:highlight w:val="none"/>
        </w:rPr>
        <w:t>（3）质疑函应包括下列主要内容：</w:t>
      </w:r>
    </w:p>
    <w:p w14:paraId="4C6F959D">
      <w:pPr>
        <w:pStyle w:val="11"/>
        <w:ind w:firstLine="480"/>
        <w:jc w:val="both"/>
        <w:rPr>
          <w:highlight w:val="none"/>
        </w:rPr>
      </w:pPr>
      <w:r>
        <w:rPr>
          <w:rFonts w:ascii="仿宋_GB2312" w:hAnsi="仿宋_GB2312" w:eastAsia="仿宋_GB2312" w:cs="仿宋_GB2312"/>
          <w:highlight w:val="none"/>
        </w:rPr>
        <w:t>①质疑人的基本信息，至少包括：全称、地址、邮政编码等；</w:t>
      </w:r>
    </w:p>
    <w:p w14:paraId="02996878">
      <w:pPr>
        <w:pStyle w:val="11"/>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504743A4">
      <w:pPr>
        <w:pStyle w:val="11"/>
        <w:ind w:firstLine="480"/>
        <w:jc w:val="both"/>
        <w:rPr>
          <w:highlight w:val="none"/>
        </w:rPr>
      </w:pPr>
      <w:r>
        <w:rPr>
          <w:rFonts w:ascii="仿宋_GB2312" w:hAnsi="仿宋_GB2312" w:eastAsia="仿宋_GB2312" w:cs="仿宋_GB2312"/>
          <w:highlight w:val="none"/>
        </w:rPr>
        <w:t>③所质疑的具体事项（以下简称：“质疑事项”）；</w:t>
      </w:r>
    </w:p>
    <w:p w14:paraId="0346A83F">
      <w:pPr>
        <w:pStyle w:val="11"/>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④针对质疑事项提出的明确请求，前述明确请求指质疑人提出质疑的目的、希望采购代理机构对其质疑作出的处理结果，如：暂停</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采购活动、修改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、停止或纠正违法违规行为、成交结果无效、废标、重新开展采购活动等；</w:t>
      </w:r>
    </w:p>
    <w:p w14:paraId="13E858CF">
      <w:pPr>
        <w:pStyle w:val="11"/>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0A5EDBC9">
      <w:pPr>
        <w:pStyle w:val="11"/>
        <w:ind w:firstLine="480"/>
        <w:jc w:val="both"/>
        <w:rPr>
          <w:highlight w:val="none"/>
        </w:rPr>
      </w:pPr>
      <w:r>
        <w:rPr>
          <w:rFonts w:ascii="仿宋_GB2312" w:hAnsi="仿宋_GB2312" w:eastAsia="仿宋_GB2312" w:cs="仿宋_GB2312"/>
          <w:highlight w:val="none"/>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14:paraId="66F00D66">
      <w:pPr>
        <w:pStyle w:val="11"/>
        <w:ind w:firstLine="480"/>
        <w:jc w:val="both"/>
        <w:rPr>
          <w:highlight w:val="none"/>
        </w:rPr>
      </w:pPr>
      <w:r>
        <w:rPr>
          <w:rFonts w:ascii="仿宋_GB2312" w:hAnsi="仿宋_GB2312" w:eastAsia="仿宋_GB2312" w:cs="仿宋_GB2312"/>
          <w:highlight w:val="none"/>
        </w:rPr>
        <w:t>b.其他证明材料，包括但不限于下列材料：</w:t>
      </w:r>
    </w:p>
    <w:p w14:paraId="3339F710">
      <w:pPr>
        <w:pStyle w:val="11"/>
        <w:ind w:firstLine="480"/>
        <w:jc w:val="both"/>
        <w:rPr>
          <w:highlight w:val="none"/>
        </w:rPr>
      </w:pPr>
      <w:r>
        <w:rPr>
          <w:rFonts w:ascii="仿宋_GB2312" w:hAnsi="仿宋_GB2312" w:eastAsia="仿宋_GB2312" w:cs="仿宋_GB2312"/>
          <w:highlight w:val="none"/>
        </w:rPr>
        <w:t>b1所质疑的具体事项是与自已有利害关系的证明材料；</w:t>
      </w:r>
    </w:p>
    <w:p w14:paraId="0A2641F5">
      <w:pPr>
        <w:pStyle w:val="11"/>
        <w:ind w:firstLine="480"/>
        <w:jc w:val="both"/>
        <w:rPr>
          <w:highlight w:val="none"/>
        </w:rPr>
      </w:pPr>
      <w:r>
        <w:rPr>
          <w:rFonts w:ascii="仿宋_GB2312" w:hAnsi="仿宋_GB2312" w:eastAsia="仿宋_GB2312" w:cs="仿宋_GB2312"/>
          <w:highlight w:val="none"/>
        </w:rPr>
        <w:t>b2质疑函所述事实存在的证明材料，如：采购文件、采购过程或成交结果违法违规或不符合采购文件要求等证明材料；</w:t>
      </w:r>
    </w:p>
    <w:p w14:paraId="0DBE9180">
      <w:pPr>
        <w:pStyle w:val="11"/>
        <w:ind w:firstLine="480"/>
        <w:jc w:val="both"/>
        <w:rPr>
          <w:highlight w:val="none"/>
        </w:rPr>
      </w:pPr>
      <w:r>
        <w:rPr>
          <w:rFonts w:ascii="仿宋_GB2312" w:hAnsi="仿宋_GB2312" w:eastAsia="仿宋_GB2312" w:cs="仿宋_GB2312"/>
          <w:highlight w:val="none"/>
        </w:rPr>
        <w:t>b3依法应终止采购程序的证明材料；</w:t>
      </w:r>
    </w:p>
    <w:p w14:paraId="348147F1">
      <w:pPr>
        <w:pStyle w:val="11"/>
        <w:ind w:firstLine="480"/>
        <w:jc w:val="both"/>
        <w:rPr>
          <w:highlight w:val="none"/>
        </w:rPr>
      </w:pPr>
      <w:r>
        <w:rPr>
          <w:rFonts w:ascii="仿宋_GB2312" w:hAnsi="仿宋_GB2312" w:eastAsia="仿宋_GB2312" w:cs="仿宋_GB2312"/>
          <w:highlight w:val="none"/>
        </w:rPr>
        <w:t>b4应重新采购的证明材料；</w:t>
      </w:r>
    </w:p>
    <w:p w14:paraId="3AB6335F">
      <w:pPr>
        <w:pStyle w:val="11"/>
        <w:ind w:firstLine="480"/>
        <w:jc w:val="both"/>
        <w:rPr>
          <w:highlight w:val="none"/>
        </w:rPr>
      </w:pPr>
      <w:r>
        <w:rPr>
          <w:rFonts w:ascii="仿宋_GB2312" w:hAnsi="仿宋_GB2312" w:eastAsia="仿宋_GB2312" w:cs="仿宋_GB2312"/>
          <w:highlight w:val="none"/>
        </w:rPr>
        <w:t>b5采购文件、采购过程或成交、成交结果损害自已合法权益的证明材料等；</w:t>
      </w:r>
    </w:p>
    <w:p w14:paraId="161FB846">
      <w:pPr>
        <w:pStyle w:val="11"/>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FDF5119">
      <w:pPr>
        <w:pStyle w:val="11"/>
        <w:ind w:firstLine="480"/>
        <w:jc w:val="both"/>
        <w:rPr>
          <w:highlight w:val="none"/>
        </w:rPr>
      </w:pPr>
      <w:r>
        <w:rPr>
          <w:rFonts w:ascii="仿宋_GB2312" w:hAnsi="仿宋_GB2312" w:eastAsia="仿宋_GB2312" w:cs="仿宋_GB2312"/>
          <w:highlight w:val="none"/>
        </w:rPr>
        <w:t>⑥质疑人代表及其联系方式的信息，至少包括：姓名、手机、电子信箱、邮寄地址等。</w:t>
      </w:r>
    </w:p>
    <w:p w14:paraId="13A6AC96">
      <w:pPr>
        <w:pStyle w:val="11"/>
        <w:ind w:firstLine="480"/>
        <w:jc w:val="both"/>
        <w:rPr>
          <w:highlight w:val="none"/>
        </w:rPr>
      </w:pPr>
      <w:r>
        <w:rPr>
          <w:rFonts w:ascii="仿宋_GB2312" w:hAnsi="仿宋_GB2312" w:eastAsia="仿宋_GB2312" w:cs="仿宋_GB2312"/>
          <w:highlight w:val="none"/>
        </w:rPr>
        <w:t>14.2对不符合本章第14.1条规定的质疑，采购代理机构将按照下列规定进行处理：</w:t>
      </w:r>
    </w:p>
    <w:p w14:paraId="63C6E047">
      <w:pPr>
        <w:pStyle w:val="11"/>
        <w:ind w:firstLine="480"/>
        <w:jc w:val="both"/>
        <w:rPr>
          <w:highlight w:val="none"/>
        </w:rPr>
      </w:pPr>
      <w:r>
        <w:rPr>
          <w:rFonts w:ascii="仿宋_GB2312" w:hAnsi="仿宋_GB2312" w:eastAsia="仿宋_GB2312" w:cs="仿宋_GB2312"/>
          <w:highlight w:val="none"/>
        </w:rPr>
        <w:t>（1）未按照规定提交的，书面告知质疑人不予受理及其理由。</w:t>
      </w:r>
    </w:p>
    <w:p w14:paraId="7BCF857E">
      <w:pPr>
        <w:pStyle w:val="11"/>
        <w:ind w:firstLine="480"/>
        <w:jc w:val="both"/>
        <w:rPr>
          <w:highlight w:val="none"/>
        </w:rPr>
      </w:pPr>
      <w:r>
        <w:rPr>
          <w:rFonts w:ascii="仿宋_GB2312" w:hAnsi="仿宋_GB2312" w:eastAsia="仿宋_GB2312" w:cs="仿宋_GB2312"/>
          <w:highlight w:val="none"/>
        </w:rPr>
        <w:t>（2）内容不符合规定的，告知质疑人修改、补充后在规定时限内重新提交质疑函原件。</w:t>
      </w:r>
    </w:p>
    <w:p w14:paraId="57B5221E">
      <w:pPr>
        <w:pStyle w:val="11"/>
        <w:ind w:firstLine="480"/>
        <w:jc w:val="both"/>
        <w:rPr>
          <w:highlight w:val="none"/>
        </w:rPr>
      </w:pPr>
      <w:r>
        <w:rPr>
          <w:rFonts w:ascii="仿宋_GB2312" w:hAnsi="仿宋_GB2312" w:eastAsia="仿宋_GB2312" w:cs="仿宋_GB2312"/>
          <w:highlight w:val="none"/>
        </w:rPr>
        <w:t>14.3对符合本章第14.1条规定的质疑，采购代理机构将按照有关规定进行答复。</w:t>
      </w:r>
    </w:p>
    <w:p w14:paraId="11309E28">
      <w:pPr>
        <w:pStyle w:val="11"/>
        <w:ind w:firstLine="480"/>
        <w:jc w:val="both"/>
        <w:rPr>
          <w:highlight w:val="none"/>
        </w:rPr>
      </w:pPr>
      <w:r>
        <w:rPr>
          <w:rFonts w:ascii="仿宋_GB2312" w:hAnsi="仿宋_GB2312" w:eastAsia="仿宋_GB2312" w:cs="仿宋_GB2312"/>
          <w:highlight w:val="none"/>
        </w:rPr>
        <w:t>14.4</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的质疑：详见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48ABF780">
      <w:pPr>
        <w:pStyle w:val="11"/>
        <w:jc w:val="both"/>
        <w:rPr>
          <w:highlight w:val="none"/>
        </w:rPr>
      </w:pPr>
      <w:r>
        <w:rPr>
          <w:rFonts w:ascii="仿宋_GB2312" w:hAnsi="仿宋_GB2312" w:eastAsia="仿宋_GB2312" w:cs="仿宋_GB2312"/>
          <w:highlight w:val="none"/>
        </w:rPr>
        <w:t>15、投诉</w:t>
      </w:r>
    </w:p>
    <w:p w14:paraId="476351F2">
      <w:pPr>
        <w:pStyle w:val="11"/>
        <w:ind w:firstLine="480"/>
        <w:jc w:val="both"/>
        <w:rPr>
          <w:highlight w:val="none"/>
        </w:rPr>
      </w:pPr>
      <w:r>
        <w:rPr>
          <w:rFonts w:ascii="仿宋_GB2312" w:hAnsi="仿宋_GB2312" w:eastAsia="仿宋_GB2312" w:cs="仿宋_GB2312"/>
          <w:highlight w:val="none"/>
        </w:rPr>
        <w:t>15.1若对质疑答复不满意或质疑答复未在答复期限内作出，质疑人可在答复期限届满之日起15个工作日内向</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第二章载明的监督管理部门投诉。</w:t>
      </w:r>
    </w:p>
    <w:p w14:paraId="390C83C6">
      <w:pPr>
        <w:pStyle w:val="11"/>
        <w:ind w:firstLine="480"/>
        <w:jc w:val="both"/>
        <w:rPr>
          <w:highlight w:val="none"/>
        </w:rPr>
      </w:pPr>
      <w:r>
        <w:rPr>
          <w:rFonts w:ascii="仿宋_GB2312" w:hAnsi="仿宋_GB2312" w:eastAsia="仿宋_GB2312" w:cs="仿宋_GB2312"/>
          <w:highlight w:val="none"/>
        </w:rPr>
        <w:t>15.2投诉应有明确的请求和必要的证明材料，投诉的事项不得超出已质疑事项的范围。</w:t>
      </w:r>
    </w:p>
    <w:p w14:paraId="286B8A7D">
      <w:pPr>
        <w:pStyle w:val="11"/>
        <w:ind w:firstLine="480"/>
        <w:jc w:val="both"/>
        <w:rPr>
          <w:highlight w:val="none"/>
        </w:rPr>
      </w:pPr>
    </w:p>
    <w:p w14:paraId="58BDFC8D">
      <w:pPr>
        <w:pStyle w:val="11"/>
        <w:jc w:val="center"/>
        <w:outlineLvl w:val="2"/>
        <w:rPr>
          <w:highlight w:val="none"/>
        </w:rPr>
      </w:pPr>
      <w:r>
        <w:rPr>
          <w:rFonts w:hint="eastAsia" w:ascii="仿宋_GB2312" w:hAnsi="仿宋_GB2312" w:eastAsia="仿宋_GB2312" w:cs="仿宋_GB2312"/>
          <w:b/>
          <w:sz w:val="28"/>
          <w:highlight w:val="none"/>
          <w:lang w:eastAsia="zh-CN"/>
        </w:rPr>
        <w:t>八</w:t>
      </w:r>
      <w:r>
        <w:rPr>
          <w:rFonts w:ascii="仿宋_GB2312" w:hAnsi="仿宋_GB2312" w:eastAsia="仿宋_GB2312" w:cs="仿宋_GB2312"/>
          <w:b/>
          <w:sz w:val="28"/>
          <w:highlight w:val="none"/>
        </w:rPr>
        <w:t>、本项目的有关信息</w:t>
      </w:r>
    </w:p>
    <w:p w14:paraId="315032EA">
      <w:pPr>
        <w:pStyle w:val="11"/>
        <w:jc w:val="both"/>
        <w:rPr>
          <w:highlight w:val="none"/>
        </w:rPr>
      </w:pPr>
      <w:r>
        <w:rPr>
          <w:rFonts w:ascii="仿宋_GB2312" w:hAnsi="仿宋_GB2312" w:eastAsia="仿宋_GB2312" w:cs="仿宋_GB2312"/>
          <w:highlight w:val="none"/>
        </w:rPr>
        <w:t>17、本项目的有关信息，包括但不限于</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公告、更正公告（若有）、</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的澄清或修改（若有）、成交公告、终止公告（若有）、废标公告（若有）等都将在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载明的指定媒体发布。潜在供应商或供应商务必随时关注，以免遗漏。</w:t>
      </w:r>
    </w:p>
    <w:p w14:paraId="29FDA2E2">
      <w:pPr>
        <w:pStyle w:val="11"/>
        <w:ind w:firstLine="480"/>
        <w:jc w:val="both"/>
        <w:rPr>
          <w:highlight w:val="none"/>
        </w:rPr>
      </w:pPr>
      <w:r>
        <w:rPr>
          <w:rFonts w:ascii="仿宋_GB2312" w:hAnsi="仿宋_GB2312" w:eastAsia="仿宋_GB2312" w:cs="仿宋_GB2312"/>
          <w:highlight w:val="none"/>
        </w:rPr>
        <w:t>17.1指定媒体：详见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5A1EBF7C">
      <w:pPr>
        <w:pStyle w:val="11"/>
        <w:jc w:val="center"/>
        <w:outlineLvl w:val="2"/>
        <w:rPr>
          <w:highlight w:val="none"/>
        </w:rPr>
      </w:pPr>
      <w:r>
        <w:rPr>
          <w:rFonts w:hint="eastAsia" w:ascii="仿宋_GB2312" w:hAnsi="仿宋_GB2312" w:eastAsia="仿宋_GB2312" w:cs="仿宋_GB2312"/>
          <w:b/>
          <w:sz w:val="28"/>
          <w:highlight w:val="none"/>
          <w:lang w:eastAsia="zh-CN"/>
        </w:rPr>
        <w:t>九</w:t>
      </w:r>
      <w:r>
        <w:rPr>
          <w:rFonts w:ascii="仿宋_GB2312" w:hAnsi="仿宋_GB2312" w:eastAsia="仿宋_GB2312" w:cs="仿宋_GB2312"/>
          <w:b/>
          <w:sz w:val="28"/>
          <w:highlight w:val="none"/>
        </w:rPr>
        <w:t>、其他事项</w:t>
      </w:r>
    </w:p>
    <w:p w14:paraId="47CF2C05">
      <w:pPr>
        <w:pStyle w:val="11"/>
        <w:jc w:val="both"/>
        <w:rPr>
          <w:highlight w:val="none"/>
        </w:rPr>
      </w:pPr>
      <w:r>
        <w:rPr>
          <w:rFonts w:ascii="仿宋_GB2312" w:hAnsi="仿宋_GB2312" w:eastAsia="仿宋_GB2312" w:cs="仿宋_GB2312"/>
          <w:highlight w:val="none"/>
        </w:rPr>
        <w:t>18、其他事项：详见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5D3C067E">
      <w:pPr>
        <w:pStyle w:val="11"/>
        <w:ind w:firstLine="480"/>
        <w:jc w:val="both"/>
        <w:rPr>
          <w:highlight w:val="none"/>
        </w:rPr>
      </w:pPr>
      <w:r>
        <w:rPr>
          <w:rFonts w:ascii="仿宋_GB2312" w:hAnsi="仿宋_GB2312" w:eastAsia="仿宋_GB2312" w:cs="仿宋_GB2312"/>
          <w:highlight w:val="none"/>
        </w:rPr>
        <w:t>18.</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其他：详见</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w:t>
      </w:r>
    </w:p>
    <w:p w14:paraId="433E09AB">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DAE0E6D">
      <w:pPr>
        <w:pStyle w:val="11"/>
        <w:jc w:val="center"/>
        <w:outlineLvl w:val="1"/>
        <w:rPr>
          <w:highlight w:val="none"/>
        </w:rPr>
      </w:pPr>
      <w:bookmarkStart w:id="11" w:name="_Toc1590174253_WPSOffice_Level1"/>
      <w:r>
        <w:rPr>
          <w:rFonts w:ascii="仿宋_GB2312" w:hAnsi="仿宋_GB2312" w:eastAsia="仿宋_GB2312" w:cs="仿宋_GB2312"/>
          <w:b/>
          <w:sz w:val="36"/>
          <w:highlight w:val="none"/>
        </w:rPr>
        <w:t>第三章 评审</w:t>
      </w:r>
      <w:bookmarkEnd w:id="11"/>
    </w:p>
    <w:p w14:paraId="53180CEE">
      <w:pPr>
        <w:pStyle w:val="11"/>
        <w:jc w:val="center"/>
        <w:outlineLvl w:val="2"/>
        <w:rPr>
          <w:highlight w:val="none"/>
        </w:rPr>
      </w:pPr>
      <w:r>
        <w:rPr>
          <w:rFonts w:ascii="仿宋_GB2312" w:hAnsi="仿宋_GB2312" w:eastAsia="仿宋_GB2312" w:cs="仿宋_GB2312"/>
          <w:b/>
          <w:sz w:val="28"/>
          <w:highlight w:val="none"/>
        </w:rPr>
        <w:t>一、</w:t>
      </w:r>
      <w:r>
        <w:rPr>
          <w:rFonts w:hint="eastAsia" w:ascii="仿宋_GB2312" w:hAnsi="仿宋_GB2312" w:eastAsia="仿宋_GB2312" w:cs="仿宋_GB2312"/>
          <w:b/>
          <w:sz w:val="28"/>
          <w:highlight w:val="none"/>
          <w:lang w:eastAsia="zh-CN"/>
        </w:rPr>
        <w:t>询比</w:t>
      </w:r>
      <w:r>
        <w:rPr>
          <w:rFonts w:ascii="仿宋_GB2312" w:hAnsi="仿宋_GB2312" w:eastAsia="仿宋_GB2312" w:cs="仿宋_GB2312"/>
          <w:b/>
          <w:sz w:val="28"/>
          <w:highlight w:val="none"/>
        </w:rPr>
        <w:t>小组</w:t>
      </w:r>
    </w:p>
    <w:p w14:paraId="12AC04A4">
      <w:pPr>
        <w:pStyle w:val="11"/>
        <w:ind w:firstLine="480"/>
        <w:jc w:val="both"/>
        <w:rPr>
          <w:highlight w:val="none"/>
        </w:rPr>
      </w:pPr>
      <w:r>
        <w:rPr>
          <w:rFonts w:ascii="仿宋_GB2312" w:hAnsi="仿宋_GB2312" w:eastAsia="仿宋_GB2312" w:cs="仿宋_GB2312"/>
          <w:highlight w:val="none"/>
        </w:rPr>
        <w:t>1、采购代理机构负责组建</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小组及评审工作的组织。</w:t>
      </w:r>
    </w:p>
    <w:p w14:paraId="6A0AFEE1">
      <w:pPr>
        <w:pStyle w:val="11"/>
        <w:ind w:firstLine="480"/>
        <w:jc w:val="both"/>
        <w:rPr>
          <w:highlight w:val="none"/>
        </w:rPr>
      </w:pPr>
      <w:r>
        <w:rPr>
          <w:rFonts w:ascii="仿宋_GB2312" w:hAnsi="仿宋_GB2312" w:eastAsia="仿宋_GB2312" w:cs="仿宋_GB2312"/>
          <w:highlight w:val="none"/>
        </w:rPr>
        <w:t>1.2、</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w:t>
      </w:r>
    </w:p>
    <w:p w14:paraId="39EAB816">
      <w:pPr>
        <w:pStyle w:val="11"/>
        <w:ind w:firstLine="960"/>
        <w:jc w:val="both"/>
        <w:rPr>
          <w:rFonts w:ascii="仿宋_GB2312" w:hAnsi="仿宋_GB2312" w:eastAsia="仿宋_GB2312" w:cs="仿宋_GB2312"/>
          <w:highlight w:val="none"/>
        </w:rPr>
      </w:pPr>
      <w:r>
        <w:rPr>
          <w:rFonts w:ascii="仿宋_GB2312" w:hAnsi="仿宋_GB2312" w:eastAsia="仿宋_GB2312" w:cs="仿宋_GB2312"/>
          <w:highlight w:val="none"/>
        </w:rPr>
        <w:t>由</w:t>
      </w:r>
      <w:r>
        <w:rPr>
          <w:rFonts w:hint="eastAsia" w:ascii="仿宋_GB2312" w:hAnsi="仿宋_GB2312" w:eastAsia="仿宋_GB2312" w:cs="仿宋_GB2312"/>
          <w:highlight w:val="none"/>
          <w:lang w:val="en-US" w:eastAsia="zh-CN"/>
        </w:rPr>
        <w:t>采购人组件询比小组，</w:t>
      </w:r>
      <w:r>
        <w:rPr>
          <w:rFonts w:ascii="仿宋_GB2312" w:hAnsi="仿宋_GB2312" w:eastAsia="仿宋_GB2312" w:cs="仿宋_GB2312"/>
          <w:highlight w:val="none"/>
        </w:rPr>
        <w:t>共3人。</w:t>
      </w:r>
    </w:p>
    <w:p w14:paraId="2C6C4894">
      <w:pPr>
        <w:pStyle w:val="11"/>
        <w:ind w:firstLine="960"/>
        <w:jc w:val="both"/>
        <w:rPr>
          <w:highlight w:val="none"/>
        </w:rPr>
      </w:pPr>
      <w:r>
        <w:rPr>
          <w:rFonts w:ascii="仿宋_GB2312" w:hAnsi="仿宋_GB2312" w:eastAsia="仿宋_GB2312" w:cs="仿宋_GB2312"/>
          <w:highlight w:val="none"/>
        </w:rPr>
        <w:t>1.2.2</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小组负责具体评审事务，并按照下列原则依法独立履行有关职责：</w:t>
      </w:r>
    </w:p>
    <w:p w14:paraId="1DA8B8A0">
      <w:pPr>
        <w:pStyle w:val="11"/>
        <w:ind w:firstLine="960"/>
        <w:jc w:val="both"/>
        <w:rPr>
          <w:highlight w:val="none"/>
        </w:rPr>
      </w:pPr>
      <w:r>
        <w:rPr>
          <w:rFonts w:ascii="仿宋_GB2312" w:hAnsi="仿宋_GB2312" w:eastAsia="仿宋_GB2312" w:cs="仿宋_GB2312"/>
          <w:highlight w:val="none"/>
        </w:rPr>
        <w:t>（1）评审应保护国家利益、社会公共利益和各方当事人合法权益，提高采购效益，保证项目质量。</w:t>
      </w:r>
    </w:p>
    <w:p w14:paraId="7B4220D4">
      <w:pPr>
        <w:pStyle w:val="11"/>
        <w:ind w:firstLine="960"/>
        <w:jc w:val="both"/>
        <w:rPr>
          <w:highlight w:val="none"/>
        </w:rPr>
      </w:pPr>
      <w:r>
        <w:rPr>
          <w:rFonts w:ascii="仿宋_GB2312" w:hAnsi="仿宋_GB2312" w:eastAsia="仿宋_GB2312" w:cs="仿宋_GB2312"/>
          <w:highlight w:val="none"/>
        </w:rPr>
        <w:t>（2）评审应遵循公平、公正、科学、严谨和择优原则。</w:t>
      </w:r>
    </w:p>
    <w:p w14:paraId="12A6F44E">
      <w:pPr>
        <w:pStyle w:val="11"/>
        <w:ind w:firstLine="960"/>
        <w:jc w:val="both"/>
        <w:rPr>
          <w:highlight w:val="none"/>
        </w:rPr>
      </w:pPr>
      <w:r>
        <w:rPr>
          <w:rFonts w:ascii="仿宋_GB2312" w:hAnsi="仿宋_GB2312" w:eastAsia="仿宋_GB2312" w:cs="仿宋_GB2312"/>
          <w:highlight w:val="none"/>
        </w:rPr>
        <w:t>（3）评审的依据是</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和响应文件。</w:t>
      </w:r>
    </w:p>
    <w:p w14:paraId="45335F48">
      <w:pPr>
        <w:pStyle w:val="11"/>
        <w:ind w:firstLine="960"/>
        <w:jc w:val="both"/>
        <w:rPr>
          <w:highlight w:val="none"/>
        </w:rPr>
      </w:pPr>
      <w:r>
        <w:rPr>
          <w:rFonts w:ascii="仿宋_GB2312" w:hAnsi="仿宋_GB2312" w:eastAsia="仿宋_GB2312" w:cs="仿宋_GB2312"/>
          <w:highlight w:val="none"/>
        </w:rPr>
        <w:t>（4）应按照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规定推荐成交候选人或确定成交人。</w:t>
      </w:r>
    </w:p>
    <w:p w14:paraId="16827DEA">
      <w:pPr>
        <w:pStyle w:val="11"/>
        <w:ind w:firstLine="960"/>
        <w:jc w:val="both"/>
        <w:rPr>
          <w:highlight w:val="none"/>
        </w:rPr>
      </w:pPr>
      <w:r>
        <w:rPr>
          <w:rFonts w:ascii="仿宋_GB2312" w:hAnsi="仿宋_GB2312" w:eastAsia="仿宋_GB2312" w:cs="仿宋_GB2312"/>
          <w:highlight w:val="none"/>
        </w:rPr>
        <w:t>（5）评审应遵守下列评审纪律：</w:t>
      </w:r>
    </w:p>
    <w:p w14:paraId="041B5671">
      <w:pPr>
        <w:pStyle w:val="11"/>
        <w:ind w:firstLine="960"/>
        <w:jc w:val="both"/>
        <w:rPr>
          <w:highlight w:val="none"/>
        </w:rPr>
      </w:pPr>
      <w:r>
        <w:rPr>
          <w:rFonts w:ascii="仿宋_GB2312" w:hAnsi="仿宋_GB2312" w:eastAsia="仿宋_GB2312" w:cs="仿宋_GB2312"/>
          <w:highlight w:val="none"/>
        </w:rPr>
        <w:t>①评审情况不得私自外泄，有关信息由采购代理机构统一对外发布。</w:t>
      </w:r>
    </w:p>
    <w:p w14:paraId="52635AD0">
      <w:pPr>
        <w:pStyle w:val="11"/>
        <w:ind w:firstLine="960"/>
        <w:jc w:val="both"/>
        <w:rPr>
          <w:highlight w:val="none"/>
        </w:rPr>
      </w:pPr>
      <w:r>
        <w:rPr>
          <w:rFonts w:ascii="仿宋_GB2312" w:hAnsi="仿宋_GB2312" w:eastAsia="仿宋_GB2312" w:cs="仿宋_GB2312"/>
          <w:highlight w:val="none"/>
        </w:rPr>
        <w:t>②对采购方或供应商提供的要求保密的资料，不得摘记翻印和外传。</w:t>
      </w:r>
    </w:p>
    <w:p w14:paraId="3115DC83">
      <w:pPr>
        <w:pStyle w:val="11"/>
        <w:ind w:firstLine="960"/>
        <w:jc w:val="both"/>
        <w:rPr>
          <w:highlight w:val="none"/>
        </w:rPr>
      </w:pPr>
      <w:r>
        <w:rPr>
          <w:rFonts w:ascii="仿宋_GB2312" w:hAnsi="仿宋_GB2312" w:eastAsia="仿宋_GB2312" w:cs="仿宋_GB2312"/>
          <w:highlight w:val="none"/>
        </w:rPr>
        <w:t>③不得收受供应商或有关人员的任何礼物，不得串联鼓动其他人袒护某供应商。若与供应商存在利害关系，则应主动声明并回避。</w:t>
      </w:r>
    </w:p>
    <w:p w14:paraId="32A682D5">
      <w:pPr>
        <w:pStyle w:val="11"/>
        <w:ind w:firstLine="960"/>
        <w:jc w:val="both"/>
        <w:rPr>
          <w:highlight w:val="none"/>
        </w:rPr>
      </w:pPr>
      <w:r>
        <w:rPr>
          <w:rFonts w:ascii="仿宋_GB2312" w:hAnsi="仿宋_GB2312" w:eastAsia="仿宋_GB2312" w:cs="仿宋_GB2312"/>
          <w:highlight w:val="none"/>
        </w:rPr>
        <w:t>④全体评委应按照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规定进行评审，一切认定事项应查有实据且不得弄虚作假。</w:t>
      </w:r>
    </w:p>
    <w:p w14:paraId="4C7C5D66">
      <w:pPr>
        <w:pStyle w:val="11"/>
        <w:ind w:firstLine="960"/>
        <w:jc w:val="both"/>
        <w:rPr>
          <w:highlight w:val="none"/>
        </w:rPr>
      </w:pPr>
      <w:r>
        <w:rPr>
          <w:rFonts w:ascii="仿宋_GB2312" w:hAnsi="仿宋_GB2312" w:eastAsia="仿宋_GB2312" w:cs="仿宋_GB2312"/>
          <w:highlight w:val="none"/>
        </w:rPr>
        <w:t>⑤评审中应充分发扬民主，推荐成交候选人或确定成交人后要服从评审报告。</w:t>
      </w:r>
    </w:p>
    <w:p w14:paraId="629FE4EC">
      <w:pPr>
        <w:pStyle w:val="11"/>
        <w:jc w:val="both"/>
        <w:rPr>
          <w:highlight w:val="none"/>
        </w:rPr>
      </w:pPr>
      <w:r>
        <w:rPr>
          <w:rFonts w:ascii="仿宋_GB2312" w:hAnsi="仿宋_GB2312" w:eastAsia="仿宋_GB2312" w:cs="仿宋_GB2312"/>
          <w:b/>
          <w:highlight w:val="none"/>
        </w:rPr>
        <w:t>※对违反评审纪律的评委，将取消其评委资格，对评审工作造成严重损失者将予以通报批评乃至追究法律责任。</w:t>
      </w:r>
    </w:p>
    <w:p w14:paraId="71A0B5B5">
      <w:pPr>
        <w:pStyle w:val="11"/>
        <w:jc w:val="center"/>
        <w:outlineLvl w:val="2"/>
        <w:rPr>
          <w:highlight w:val="none"/>
        </w:rPr>
      </w:pPr>
      <w:r>
        <w:rPr>
          <w:rFonts w:ascii="仿宋_GB2312" w:hAnsi="仿宋_GB2312" w:eastAsia="仿宋_GB2312" w:cs="仿宋_GB2312"/>
          <w:b/>
          <w:sz w:val="28"/>
          <w:highlight w:val="none"/>
        </w:rPr>
        <w:t>二、评审</w:t>
      </w:r>
    </w:p>
    <w:p w14:paraId="399E6BF4">
      <w:pPr>
        <w:pStyle w:val="11"/>
        <w:jc w:val="both"/>
        <w:rPr>
          <w:highlight w:val="none"/>
        </w:rPr>
      </w:pPr>
      <w:r>
        <w:rPr>
          <w:rFonts w:ascii="仿宋_GB2312" w:hAnsi="仿宋_GB2312" w:eastAsia="仿宋_GB2312" w:cs="仿宋_GB2312"/>
          <w:highlight w:val="none"/>
        </w:rPr>
        <w:t>2.1、评审应遵守下列规定：</w:t>
      </w:r>
    </w:p>
    <w:p w14:paraId="1C628E93">
      <w:pPr>
        <w:pStyle w:val="11"/>
        <w:ind w:firstLine="480"/>
        <w:jc w:val="both"/>
        <w:rPr>
          <w:highlight w:val="none"/>
        </w:rPr>
      </w:pPr>
      <w:r>
        <w:rPr>
          <w:rFonts w:ascii="仿宋_GB2312" w:hAnsi="仿宋_GB2312" w:eastAsia="仿宋_GB2312" w:cs="仿宋_GB2312"/>
          <w:highlight w:val="none"/>
        </w:rPr>
        <w:t>首先进行资格性与符合性审查，其次再进行技术商务及报价部分的评审，最终按照本章第2.2.7条规定的相应评审标准推荐成交候选人。</w:t>
      </w:r>
    </w:p>
    <w:p w14:paraId="6CEB1277">
      <w:pPr>
        <w:pStyle w:val="11"/>
        <w:jc w:val="both"/>
        <w:rPr>
          <w:highlight w:val="none"/>
        </w:rPr>
      </w:pPr>
      <w:r>
        <w:rPr>
          <w:rFonts w:ascii="仿宋_GB2312" w:hAnsi="仿宋_GB2312" w:eastAsia="仿宋_GB2312" w:cs="仿宋_GB2312"/>
          <w:highlight w:val="none"/>
        </w:rPr>
        <w:t>2.2、评审程序</w:t>
      </w:r>
    </w:p>
    <w:p w14:paraId="0F05595F">
      <w:pPr>
        <w:pStyle w:val="11"/>
        <w:ind w:firstLine="480"/>
        <w:jc w:val="both"/>
        <w:rPr>
          <w:highlight w:val="none"/>
        </w:rPr>
      </w:pPr>
      <w:r>
        <w:rPr>
          <w:rFonts w:ascii="仿宋_GB2312" w:hAnsi="仿宋_GB2312" w:eastAsia="仿宋_GB2312" w:cs="仿宋_GB2312"/>
          <w:highlight w:val="none"/>
        </w:rPr>
        <w:t>2.2.1评审前的准备工作</w:t>
      </w:r>
    </w:p>
    <w:p w14:paraId="6D1876BE">
      <w:pPr>
        <w:pStyle w:val="11"/>
        <w:ind w:firstLine="480"/>
        <w:jc w:val="both"/>
        <w:rPr>
          <w:highlight w:val="none"/>
        </w:rPr>
      </w:pPr>
      <w:r>
        <w:rPr>
          <w:rFonts w:ascii="仿宋_GB2312" w:hAnsi="仿宋_GB2312" w:eastAsia="仿宋_GB2312" w:cs="仿宋_GB2312"/>
          <w:highlight w:val="none"/>
        </w:rPr>
        <w:t>（1）全体评委应认真审阅</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，了解评委应履行或遵守的职责、义务和评审纪律，并对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进行确认。</w:t>
      </w:r>
    </w:p>
    <w:p w14:paraId="23FE24AE">
      <w:pPr>
        <w:pStyle w:val="11"/>
        <w:ind w:firstLine="480"/>
        <w:jc w:val="both"/>
        <w:rPr>
          <w:highlight w:val="none"/>
        </w:rPr>
      </w:pPr>
      <w:r>
        <w:rPr>
          <w:rFonts w:ascii="仿宋_GB2312" w:hAnsi="仿宋_GB2312" w:eastAsia="仿宋_GB2312" w:cs="仿宋_GB2312"/>
          <w:highlight w:val="none"/>
        </w:rPr>
        <w:t>（2）参加</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小组的采购人代表可对本项目的背景和采购需求进行介绍，介绍材料应以书面形式提交（随采购文件一并存档），介绍内容不得含有歧视性、倾向性意见，不得超出</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所述范围。</w:t>
      </w:r>
    </w:p>
    <w:p w14:paraId="2E8A6614">
      <w:pPr>
        <w:pStyle w:val="11"/>
        <w:ind w:firstLine="480"/>
        <w:jc w:val="both"/>
        <w:rPr>
          <w:highlight w:val="none"/>
        </w:rPr>
      </w:pPr>
      <w:r>
        <w:rPr>
          <w:rFonts w:ascii="仿宋_GB2312" w:hAnsi="仿宋_GB2312" w:eastAsia="仿宋_GB2312" w:cs="仿宋_GB2312"/>
          <w:highlight w:val="none"/>
        </w:rPr>
        <w:t>2.2.2资格性审查</w:t>
      </w:r>
    </w:p>
    <w:p w14:paraId="18E36CE6">
      <w:pPr>
        <w:pStyle w:val="11"/>
        <w:ind w:firstLine="480"/>
        <w:jc w:val="both"/>
        <w:rPr>
          <w:highlight w:val="none"/>
        </w:rPr>
      </w:pP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小组将根据</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，对供应商提供的资格证明材料进行审查。有任一项资格证明材料不满足资格条件的，视为无效响应。若供应商为联合体的，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小组对联合体各方资格证明文件及联合体协议进行审查，不满足资格条件的，视为无效响应。</w:t>
      </w:r>
    </w:p>
    <w:p w14:paraId="57965D6E">
      <w:pPr>
        <w:pStyle w:val="11"/>
        <w:ind w:firstLine="480"/>
        <w:jc w:val="both"/>
        <w:rPr>
          <w:highlight w:val="none"/>
        </w:rPr>
      </w:pPr>
      <w:r>
        <w:rPr>
          <w:rFonts w:ascii="仿宋_GB2312" w:hAnsi="仿宋_GB2312" w:eastAsia="仿宋_GB2312" w:cs="仿宋_GB2312"/>
          <w:highlight w:val="none"/>
        </w:rPr>
        <w:t>2.2.3符合性审查</w:t>
      </w:r>
    </w:p>
    <w:p w14:paraId="10922E38">
      <w:pPr>
        <w:pStyle w:val="11"/>
        <w:ind w:firstLine="480"/>
        <w:jc w:val="both"/>
        <w:rPr>
          <w:highlight w:val="none"/>
        </w:rPr>
      </w:pPr>
      <w:r>
        <w:rPr>
          <w:rFonts w:ascii="仿宋_GB2312" w:hAnsi="仿宋_GB2312" w:eastAsia="仿宋_GB2312" w:cs="仿宋_GB2312"/>
          <w:highlight w:val="none"/>
        </w:rPr>
        <w:t>有效性、完整性审查。有下列情形之一的，符合性审查不合格，响应文件无效：</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65B27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813C69">
            <w:pPr>
              <w:pStyle w:val="11"/>
              <w:jc w:val="center"/>
              <w:rPr>
                <w:highlight w:val="none"/>
              </w:rPr>
            </w:pPr>
            <w:r>
              <w:rPr>
                <w:rFonts w:ascii="仿宋_GB2312" w:hAnsi="仿宋_GB2312" w:eastAsia="仿宋_GB2312" w:cs="仿宋_GB2312"/>
                <w:highlight w:val="none"/>
              </w:rPr>
              <w:t>序号</w:t>
            </w:r>
          </w:p>
        </w:tc>
        <w:tc>
          <w:tcPr>
            <w:tcW w:w="3115" w:type="dxa"/>
          </w:tcPr>
          <w:p w14:paraId="5CCDF193">
            <w:pPr>
              <w:pStyle w:val="11"/>
              <w:jc w:val="center"/>
              <w:rPr>
                <w:highlight w:val="none"/>
              </w:rPr>
            </w:pPr>
            <w:r>
              <w:rPr>
                <w:rFonts w:ascii="仿宋_GB2312" w:hAnsi="仿宋_GB2312" w:eastAsia="仿宋_GB2312" w:cs="仿宋_GB2312"/>
                <w:highlight w:val="none"/>
              </w:rPr>
              <w:t>符合审查要求概况</w:t>
            </w:r>
          </w:p>
        </w:tc>
        <w:tc>
          <w:tcPr>
            <w:tcW w:w="4153" w:type="dxa"/>
          </w:tcPr>
          <w:p w14:paraId="751D517F">
            <w:pPr>
              <w:pStyle w:val="11"/>
              <w:jc w:val="center"/>
              <w:rPr>
                <w:highlight w:val="none"/>
              </w:rPr>
            </w:pPr>
            <w:r>
              <w:rPr>
                <w:rFonts w:ascii="仿宋_GB2312" w:hAnsi="仿宋_GB2312" w:eastAsia="仿宋_GB2312" w:cs="仿宋_GB2312"/>
                <w:highlight w:val="none"/>
              </w:rPr>
              <w:t>评审点具体描述</w:t>
            </w:r>
          </w:p>
        </w:tc>
      </w:tr>
      <w:tr w14:paraId="672F5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C481CE3">
            <w:pPr>
              <w:pStyle w:val="11"/>
              <w:jc w:val="center"/>
              <w:rPr>
                <w:highlight w:val="none"/>
              </w:rPr>
            </w:pPr>
            <w:r>
              <w:rPr>
                <w:rFonts w:ascii="仿宋_GB2312" w:hAnsi="仿宋_GB2312" w:eastAsia="仿宋_GB2312" w:cs="仿宋_GB2312"/>
                <w:highlight w:val="none"/>
              </w:rPr>
              <w:t>1</w:t>
            </w:r>
          </w:p>
        </w:tc>
        <w:tc>
          <w:tcPr>
            <w:tcW w:w="3115" w:type="dxa"/>
            <w:vAlign w:val="center"/>
          </w:tcPr>
          <w:p w14:paraId="13FF027F">
            <w:pPr>
              <w:pStyle w:val="11"/>
              <w:jc w:val="center"/>
              <w:rPr>
                <w:highlight w:val="none"/>
              </w:rPr>
            </w:pPr>
            <w:r>
              <w:rPr>
                <w:rFonts w:ascii="仿宋_GB2312" w:hAnsi="仿宋_GB2312" w:eastAsia="仿宋_GB2312" w:cs="仿宋_GB2312"/>
                <w:highlight w:val="none"/>
              </w:rPr>
              <w:t>情形1</w:t>
            </w:r>
          </w:p>
        </w:tc>
        <w:tc>
          <w:tcPr>
            <w:tcW w:w="4153" w:type="dxa"/>
          </w:tcPr>
          <w:p w14:paraId="19C31C74">
            <w:pPr>
              <w:pStyle w:val="11"/>
              <w:jc w:val="left"/>
              <w:rPr>
                <w:highlight w:val="none"/>
              </w:rPr>
            </w:pPr>
            <w:r>
              <w:rPr>
                <w:rFonts w:ascii="仿宋_GB2312" w:hAnsi="仿宋_GB2312" w:eastAsia="仿宋_GB2312" w:cs="仿宋_GB2312"/>
                <w:highlight w:val="none"/>
              </w:rPr>
              <w:t>未按照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响应声明的；</w:t>
            </w:r>
          </w:p>
        </w:tc>
      </w:tr>
      <w:tr w14:paraId="63303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4CA181D">
            <w:pPr>
              <w:pStyle w:val="11"/>
              <w:jc w:val="center"/>
              <w:rPr>
                <w:highlight w:val="none"/>
              </w:rPr>
            </w:pPr>
            <w:r>
              <w:rPr>
                <w:rFonts w:ascii="仿宋_GB2312" w:hAnsi="仿宋_GB2312" w:eastAsia="仿宋_GB2312" w:cs="仿宋_GB2312"/>
                <w:highlight w:val="none"/>
              </w:rPr>
              <w:t>2</w:t>
            </w:r>
          </w:p>
        </w:tc>
        <w:tc>
          <w:tcPr>
            <w:tcW w:w="3115" w:type="dxa"/>
            <w:vAlign w:val="center"/>
          </w:tcPr>
          <w:p w14:paraId="61AC9628">
            <w:pPr>
              <w:pStyle w:val="11"/>
              <w:jc w:val="center"/>
              <w:rPr>
                <w:highlight w:val="none"/>
              </w:rPr>
            </w:pPr>
            <w:r>
              <w:rPr>
                <w:rFonts w:ascii="仿宋_GB2312" w:hAnsi="仿宋_GB2312" w:eastAsia="仿宋_GB2312" w:cs="仿宋_GB2312"/>
                <w:highlight w:val="none"/>
              </w:rPr>
              <w:t>情形2</w:t>
            </w:r>
          </w:p>
        </w:tc>
        <w:tc>
          <w:tcPr>
            <w:tcW w:w="4153" w:type="dxa"/>
          </w:tcPr>
          <w:p w14:paraId="6615A4DE">
            <w:pPr>
              <w:pStyle w:val="11"/>
              <w:jc w:val="left"/>
              <w:rPr>
                <w:highlight w:val="none"/>
              </w:rPr>
            </w:pPr>
            <w:r>
              <w:rPr>
                <w:rFonts w:ascii="仿宋_GB2312" w:hAnsi="仿宋_GB2312" w:eastAsia="仿宋_GB2312" w:cs="仿宋_GB2312"/>
                <w:highlight w:val="none"/>
              </w:rPr>
              <w:t>未按照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保证金的；</w:t>
            </w:r>
          </w:p>
        </w:tc>
      </w:tr>
      <w:tr w14:paraId="5D389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vAlign w:val="center"/>
          </w:tcPr>
          <w:p w14:paraId="5BED6E2A">
            <w:pPr>
              <w:pStyle w:val="11"/>
              <w:jc w:val="center"/>
              <w:rPr>
                <w:highlight w:val="none"/>
              </w:rPr>
            </w:pPr>
            <w:r>
              <w:rPr>
                <w:rFonts w:ascii="仿宋_GB2312" w:hAnsi="仿宋_GB2312" w:eastAsia="仿宋_GB2312" w:cs="仿宋_GB2312"/>
                <w:highlight w:val="none"/>
              </w:rPr>
              <w:t>3</w:t>
            </w:r>
          </w:p>
        </w:tc>
        <w:tc>
          <w:tcPr>
            <w:tcW w:w="3115" w:type="dxa"/>
            <w:vAlign w:val="center"/>
          </w:tcPr>
          <w:p w14:paraId="4E00C081">
            <w:pPr>
              <w:pStyle w:val="11"/>
              <w:jc w:val="center"/>
              <w:rPr>
                <w:highlight w:val="none"/>
              </w:rPr>
            </w:pPr>
            <w:r>
              <w:rPr>
                <w:rFonts w:ascii="仿宋_GB2312" w:hAnsi="仿宋_GB2312" w:eastAsia="仿宋_GB2312" w:cs="仿宋_GB2312"/>
                <w:highlight w:val="none"/>
              </w:rPr>
              <w:t>情形3</w:t>
            </w:r>
          </w:p>
        </w:tc>
        <w:tc>
          <w:tcPr>
            <w:tcW w:w="4153" w:type="dxa"/>
          </w:tcPr>
          <w:p w14:paraId="1AF32D49">
            <w:pPr>
              <w:pStyle w:val="11"/>
              <w:jc w:val="left"/>
              <w:rPr>
                <w:highlight w:val="none"/>
              </w:rPr>
            </w:pPr>
            <w:r>
              <w:rPr>
                <w:rFonts w:ascii="仿宋_GB2312" w:hAnsi="仿宋_GB2312" w:eastAsia="仿宋_GB2312" w:cs="仿宋_GB2312"/>
                <w:highlight w:val="none"/>
              </w:rPr>
              <w:t>响应文件有效期不足的；</w:t>
            </w:r>
          </w:p>
        </w:tc>
      </w:tr>
      <w:tr w14:paraId="310BA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7721C87">
            <w:pPr>
              <w:pStyle w:val="11"/>
              <w:jc w:val="center"/>
              <w:rPr>
                <w:highlight w:val="none"/>
              </w:rPr>
            </w:pPr>
            <w:r>
              <w:rPr>
                <w:rFonts w:ascii="仿宋_GB2312" w:hAnsi="仿宋_GB2312" w:eastAsia="仿宋_GB2312" w:cs="仿宋_GB2312"/>
                <w:highlight w:val="none"/>
              </w:rPr>
              <w:t>4</w:t>
            </w:r>
          </w:p>
        </w:tc>
        <w:tc>
          <w:tcPr>
            <w:tcW w:w="3115" w:type="dxa"/>
            <w:vAlign w:val="center"/>
          </w:tcPr>
          <w:p w14:paraId="26F11915">
            <w:pPr>
              <w:pStyle w:val="11"/>
              <w:jc w:val="center"/>
              <w:rPr>
                <w:highlight w:val="none"/>
              </w:rPr>
            </w:pPr>
            <w:r>
              <w:rPr>
                <w:rFonts w:ascii="仿宋_GB2312" w:hAnsi="仿宋_GB2312" w:eastAsia="仿宋_GB2312" w:cs="仿宋_GB2312"/>
                <w:highlight w:val="none"/>
              </w:rPr>
              <w:t>情形4</w:t>
            </w:r>
          </w:p>
        </w:tc>
        <w:tc>
          <w:tcPr>
            <w:tcW w:w="4153" w:type="dxa"/>
          </w:tcPr>
          <w:p w14:paraId="4479496D">
            <w:pPr>
              <w:pStyle w:val="11"/>
              <w:jc w:val="left"/>
              <w:rPr>
                <w:highlight w:val="none"/>
              </w:rPr>
            </w:pPr>
            <w:r>
              <w:rPr>
                <w:rFonts w:ascii="仿宋_GB2312" w:hAnsi="仿宋_GB2312" w:eastAsia="仿宋_GB2312" w:cs="仿宋_GB2312"/>
                <w:highlight w:val="none"/>
              </w:rPr>
              <w:t>本项目规定的其他情形</w:t>
            </w:r>
          </w:p>
        </w:tc>
      </w:tr>
    </w:tbl>
    <w:p w14:paraId="2A837E15">
      <w:pPr>
        <w:pStyle w:val="11"/>
        <w:jc w:val="left"/>
        <w:rPr>
          <w:highlight w:val="none"/>
        </w:rPr>
      </w:pPr>
      <w:r>
        <w:rPr>
          <w:rFonts w:ascii="仿宋_GB2312" w:hAnsi="仿宋_GB2312" w:eastAsia="仿宋_GB2312" w:cs="仿宋_GB2312"/>
          <w:highlight w:val="none"/>
        </w:rPr>
        <w:t>技术符合性</w:t>
      </w:r>
    </w:p>
    <w:tbl>
      <w:tblPr>
        <w:tblStyle w:val="9"/>
        <w:tblW w:w="85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6"/>
        <w:gridCol w:w="3110"/>
        <w:gridCol w:w="4355"/>
      </w:tblGrid>
      <w:tr w14:paraId="7C3A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vAlign w:val="center"/>
          </w:tcPr>
          <w:p w14:paraId="6A9B3DF4">
            <w:pPr>
              <w:pStyle w:val="11"/>
              <w:jc w:val="center"/>
              <w:rPr>
                <w:rFonts w:hint="eastAsia" w:ascii="仿宋_GB2312" w:hAnsi="仿宋_GB2312" w:eastAsia="仿宋_GB2312" w:cs="仿宋_GB2312"/>
                <w:highlight w:val="none"/>
                <w:lang w:val="en-US" w:eastAsia="zh-CN"/>
              </w:rPr>
            </w:pPr>
            <w:bookmarkStart w:id="12" w:name="OLE_LINK5" w:colFirst="0" w:colLast="2"/>
            <w:bookmarkStart w:id="13" w:name="OLE_LINK7" w:colFirst="0" w:colLast="2"/>
            <w:r>
              <w:rPr>
                <w:rFonts w:hint="eastAsia" w:ascii="仿宋_GB2312" w:hAnsi="仿宋_GB2312" w:eastAsia="仿宋_GB2312" w:cs="仿宋_GB2312"/>
                <w:highlight w:val="none"/>
                <w:lang w:val="en-US" w:eastAsia="zh-CN"/>
              </w:rPr>
              <w:t>序号</w:t>
            </w:r>
          </w:p>
        </w:tc>
        <w:tc>
          <w:tcPr>
            <w:tcW w:w="3110" w:type="dxa"/>
            <w:vAlign w:val="center"/>
          </w:tcPr>
          <w:p w14:paraId="6DEA24E0">
            <w:pPr>
              <w:pStyle w:val="11"/>
              <w:jc w:val="center"/>
              <w:rPr>
                <w:highlight w:val="none"/>
              </w:rPr>
            </w:pPr>
            <w:r>
              <w:rPr>
                <w:rFonts w:ascii="仿宋_GB2312" w:hAnsi="仿宋_GB2312" w:eastAsia="仿宋_GB2312" w:cs="仿宋_GB2312"/>
                <w:highlight w:val="none"/>
              </w:rPr>
              <w:t>情形</w:t>
            </w:r>
          </w:p>
        </w:tc>
        <w:tc>
          <w:tcPr>
            <w:tcW w:w="4355" w:type="dxa"/>
            <w:vAlign w:val="center"/>
          </w:tcPr>
          <w:p w14:paraId="5B980984">
            <w:pPr>
              <w:pStyle w:val="11"/>
              <w:jc w:val="center"/>
              <w:rPr>
                <w:highlight w:val="none"/>
              </w:rPr>
            </w:pPr>
            <w:r>
              <w:rPr>
                <w:rFonts w:ascii="仿宋_GB2312" w:hAnsi="仿宋_GB2312" w:eastAsia="仿宋_GB2312" w:cs="仿宋_GB2312"/>
                <w:highlight w:val="none"/>
              </w:rPr>
              <w:t>明细</w:t>
            </w:r>
          </w:p>
        </w:tc>
      </w:tr>
      <w:tr w14:paraId="4AB37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vAlign w:val="center"/>
          </w:tcPr>
          <w:p w14:paraId="4599015C">
            <w:pPr>
              <w:pStyle w:val="11"/>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3110" w:type="dxa"/>
            <w:vAlign w:val="center"/>
          </w:tcPr>
          <w:p w14:paraId="3959C34B">
            <w:pPr>
              <w:pStyle w:val="11"/>
              <w:jc w:val="center"/>
              <w:rPr>
                <w:rFonts w:hint="eastAsia" w:eastAsiaTheme="minorEastAsia"/>
                <w:highlight w:val="none"/>
                <w:lang w:eastAsia="zh-CN"/>
              </w:rPr>
            </w:pPr>
            <w:r>
              <w:rPr>
                <w:rFonts w:ascii="仿宋_GB2312" w:hAnsi="仿宋_GB2312" w:eastAsia="仿宋_GB2312" w:cs="仿宋_GB2312"/>
                <w:highlight w:val="none"/>
              </w:rPr>
              <w:t>情形1</w:t>
            </w:r>
          </w:p>
        </w:tc>
        <w:tc>
          <w:tcPr>
            <w:tcW w:w="4355" w:type="dxa"/>
          </w:tcPr>
          <w:p w14:paraId="799E5999">
            <w:pPr>
              <w:pStyle w:val="11"/>
              <w:jc w:val="left"/>
              <w:rPr>
                <w:rFonts w:hint="eastAsia" w:eastAsiaTheme="minorEastAsia"/>
                <w:highlight w:val="none"/>
                <w:lang w:eastAsia="zh-CN"/>
              </w:rPr>
            </w:pPr>
            <w:r>
              <w:rPr>
                <w:rFonts w:ascii="仿宋_GB2312" w:hAnsi="仿宋_GB2312" w:eastAsia="仿宋_GB2312" w:cs="仿宋_GB2312"/>
                <w:highlight w:val="none"/>
              </w:rPr>
              <w:t>未按照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响应声明的</w:t>
            </w:r>
          </w:p>
        </w:tc>
      </w:tr>
      <w:bookmarkEnd w:id="12"/>
      <w:bookmarkEnd w:id="13"/>
    </w:tbl>
    <w:p w14:paraId="14C793C9">
      <w:pPr>
        <w:pStyle w:val="11"/>
        <w:jc w:val="left"/>
        <w:rPr>
          <w:rFonts w:ascii="仿宋_GB2312" w:hAnsi="仿宋_GB2312" w:eastAsia="仿宋_GB2312" w:cs="仿宋_GB2312"/>
          <w:highlight w:val="none"/>
        </w:rPr>
      </w:pPr>
      <w:r>
        <w:rPr>
          <w:rFonts w:ascii="仿宋_GB2312" w:hAnsi="仿宋_GB2312" w:eastAsia="仿宋_GB2312" w:cs="仿宋_GB2312"/>
          <w:highlight w:val="none"/>
        </w:rPr>
        <w:t>商务符合性</w:t>
      </w:r>
    </w:p>
    <w:tbl>
      <w:tblPr>
        <w:tblStyle w:val="9"/>
        <w:tblW w:w="85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6"/>
        <w:gridCol w:w="3110"/>
        <w:gridCol w:w="4355"/>
      </w:tblGrid>
      <w:tr w14:paraId="58961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vAlign w:val="center"/>
          </w:tcPr>
          <w:p w14:paraId="3E6D0D64">
            <w:pPr>
              <w:pStyle w:val="11"/>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序号</w:t>
            </w:r>
          </w:p>
        </w:tc>
        <w:tc>
          <w:tcPr>
            <w:tcW w:w="3110" w:type="dxa"/>
            <w:vAlign w:val="center"/>
          </w:tcPr>
          <w:p w14:paraId="6294A9DD">
            <w:pPr>
              <w:pStyle w:val="11"/>
              <w:jc w:val="center"/>
              <w:rPr>
                <w:highlight w:val="none"/>
              </w:rPr>
            </w:pPr>
            <w:r>
              <w:rPr>
                <w:rFonts w:ascii="仿宋_GB2312" w:hAnsi="仿宋_GB2312" w:eastAsia="仿宋_GB2312" w:cs="仿宋_GB2312"/>
                <w:highlight w:val="none"/>
              </w:rPr>
              <w:t>情形</w:t>
            </w:r>
          </w:p>
        </w:tc>
        <w:tc>
          <w:tcPr>
            <w:tcW w:w="4355" w:type="dxa"/>
            <w:vAlign w:val="center"/>
          </w:tcPr>
          <w:p w14:paraId="29DB291F">
            <w:pPr>
              <w:pStyle w:val="11"/>
              <w:jc w:val="center"/>
              <w:rPr>
                <w:highlight w:val="none"/>
              </w:rPr>
            </w:pPr>
            <w:r>
              <w:rPr>
                <w:rFonts w:ascii="仿宋_GB2312" w:hAnsi="仿宋_GB2312" w:eastAsia="仿宋_GB2312" w:cs="仿宋_GB2312"/>
                <w:highlight w:val="none"/>
              </w:rPr>
              <w:t>明细</w:t>
            </w:r>
          </w:p>
        </w:tc>
      </w:tr>
      <w:tr w14:paraId="1C0A3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vAlign w:val="center"/>
          </w:tcPr>
          <w:p w14:paraId="5B334053">
            <w:pPr>
              <w:pStyle w:val="11"/>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3110" w:type="dxa"/>
            <w:vAlign w:val="center"/>
          </w:tcPr>
          <w:p w14:paraId="111157B1">
            <w:pPr>
              <w:pStyle w:val="11"/>
              <w:jc w:val="center"/>
              <w:rPr>
                <w:highlight w:val="none"/>
              </w:rPr>
            </w:pPr>
            <w:r>
              <w:rPr>
                <w:rFonts w:ascii="仿宋_GB2312" w:hAnsi="仿宋_GB2312" w:eastAsia="仿宋_GB2312" w:cs="仿宋_GB2312"/>
                <w:highlight w:val="none"/>
              </w:rPr>
              <w:t>情形1</w:t>
            </w:r>
          </w:p>
        </w:tc>
        <w:tc>
          <w:tcPr>
            <w:tcW w:w="4355" w:type="dxa"/>
          </w:tcPr>
          <w:p w14:paraId="57A9757D">
            <w:pPr>
              <w:pStyle w:val="11"/>
              <w:jc w:val="left"/>
              <w:rPr>
                <w:highlight w:val="none"/>
              </w:rPr>
            </w:pPr>
            <w:r>
              <w:rPr>
                <w:rFonts w:ascii="仿宋_GB2312" w:hAnsi="仿宋_GB2312" w:eastAsia="仿宋_GB2312" w:cs="仿宋_GB2312"/>
                <w:highlight w:val="none"/>
              </w:rPr>
              <w:t>未按照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规定提交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响应声明的</w:t>
            </w:r>
          </w:p>
        </w:tc>
      </w:tr>
    </w:tbl>
    <w:p w14:paraId="07E38C13">
      <w:pPr>
        <w:pStyle w:val="11"/>
        <w:ind w:firstLine="0"/>
        <w:jc w:val="left"/>
        <w:rPr>
          <w:highlight w:val="none"/>
        </w:rPr>
      </w:pPr>
      <w:bookmarkStart w:id="14" w:name="OLE_LINK6"/>
      <w:r>
        <w:rPr>
          <w:rFonts w:hint="eastAsia" w:ascii="仿宋_GB2312" w:hAnsi="仿宋_GB2312" w:eastAsia="仿宋_GB2312" w:cs="仿宋_GB2312"/>
          <w:highlight w:val="none"/>
          <w:lang w:val="en-US" w:eastAsia="zh-CN"/>
        </w:rPr>
        <w:t>价格符合性：</w:t>
      </w:r>
      <w:r>
        <w:rPr>
          <w:rFonts w:hint="default" w:ascii="仿宋_GB2312" w:hAnsi="仿宋_GB2312" w:eastAsia="仿宋_GB2312" w:cs="仿宋_GB2312"/>
          <w:highlight w:val="none"/>
          <w:u w:val="single"/>
          <w:lang w:val="en-US" w:eastAsia="zh-CN"/>
        </w:rPr>
        <w:t xml:space="preserve">   </w:t>
      </w:r>
      <w:r>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w:t>
      </w:r>
      <w:r>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default" w:ascii="仿宋_GB2312" w:hAnsi="仿宋_GB2312" w:eastAsia="仿宋_GB2312" w:cs="仿宋_GB2312"/>
          <w:highlight w:val="none"/>
          <w:u w:val="single"/>
          <w:lang w:val="en-US" w:eastAsia="zh-CN"/>
        </w:rPr>
        <w:t xml:space="preserve">   </w:t>
      </w:r>
      <w:bookmarkEnd w:id="14"/>
    </w:p>
    <w:p w14:paraId="58D60EF0">
      <w:pPr>
        <w:pStyle w:val="11"/>
        <w:ind w:firstLine="480"/>
        <w:jc w:val="both"/>
        <w:rPr>
          <w:highlight w:val="none"/>
        </w:rPr>
      </w:pPr>
      <w:r>
        <w:rPr>
          <w:rFonts w:ascii="仿宋_GB2312" w:hAnsi="仿宋_GB2312" w:eastAsia="仿宋_GB2312" w:cs="仿宋_GB2312"/>
          <w:highlight w:val="none"/>
        </w:rPr>
        <w:t>（1）审查响应文件是否与</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要求的实质性条款、条件和规格相符。</w:t>
      </w:r>
    </w:p>
    <w:p w14:paraId="3BF0EA64">
      <w:pPr>
        <w:pStyle w:val="11"/>
        <w:ind w:firstLine="480"/>
        <w:jc w:val="both"/>
        <w:rPr>
          <w:highlight w:val="none"/>
        </w:rPr>
      </w:pPr>
      <w:r>
        <w:rPr>
          <w:rFonts w:ascii="仿宋_GB2312" w:hAnsi="仿宋_GB2312" w:eastAsia="仿宋_GB2312" w:cs="仿宋_GB2312"/>
          <w:highlight w:val="none"/>
        </w:rPr>
        <w:t>（2）响应文件是否实质性响应</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，由</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小组依据</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规定和响应文件内容认定。有任一项实质性要求条款偏离的，视为无效响应。</w:t>
      </w:r>
    </w:p>
    <w:p w14:paraId="461B1F75">
      <w:pPr>
        <w:pStyle w:val="11"/>
        <w:ind w:firstLine="480"/>
        <w:jc w:val="both"/>
        <w:rPr>
          <w:highlight w:val="none"/>
        </w:rPr>
      </w:pPr>
      <w:r>
        <w:rPr>
          <w:rFonts w:ascii="仿宋_GB2312" w:hAnsi="仿宋_GB2312" w:eastAsia="仿宋_GB2312" w:cs="仿宋_GB2312"/>
          <w:highlight w:val="none"/>
        </w:rPr>
        <w:t>2.2.5澄清</w:t>
      </w:r>
    </w:p>
    <w:p w14:paraId="6A41F5D4">
      <w:pPr>
        <w:pStyle w:val="11"/>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小组在对响应文件的有效性、完整性和对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的响应程度进行审查时，可以以书面形式要求供应商对响应文件中含义不明确、同类问题表述不一致或有明显文字和计算错误的内容，作出必要的澄清、说明或更正。</w:t>
      </w:r>
    </w:p>
    <w:p w14:paraId="4C1FBB30">
      <w:pPr>
        <w:pStyle w:val="11"/>
        <w:ind w:firstLine="480"/>
        <w:jc w:val="both"/>
        <w:rPr>
          <w:highlight w:val="none"/>
        </w:rPr>
      </w:pPr>
      <w:r>
        <w:rPr>
          <w:rFonts w:ascii="仿宋_GB2312" w:hAnsi="仿宋_GB2312" w:eastAsia="仿宋_GB2312" w:cs="仿宋_GB2312"/>
          <w:highlight w:val="none"/>
        </w:rPr>
        <w:t>（2）供应商的澄清、说明或更正应当采用书面形式，由其单位负责人或其授权代表签字，前述澄清、说明或更正不得超出响应文件的范围或改变响应文件的实质性内容。若供应商未按前述规定向</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小组提交书面澄清、说明或更正，则</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小组将按照不利于供应商的内容进行认定。</w:t>
      </w:r>
    </w:p>
    <w:p w14:paraId="4D36671F">
      <w:pPr>
        <w:pStyle w:val="11"/>
        <w:ind w:firstLine="480"/>
        <w:jc w:val="both"/>
        <w:rPr>
          <w:highlight w:val="none"/>
        </w:rPr>
      </w:pPr>
      <w:r>
        <w:rPr>
          <w:rFonts w:ascii="仿宋_GB2312" w:hAnsi="仿宋_GB2312" w:eastAsia="仿宋_GB2312" w:cs="仿宋_GB2312"/>
          <w:highlight w:val="none"/>
        </w:rPr>
        <w:t>（3）关于报价计算错误修正的原则</w:t>
      </w:r>
    </w:p>
    <w:p w14:paraId="19811B79">
      <w:pPr>
        <w:pStyle w:val="11"/>
        <w:ind w:firstLine="480"/>
        <w:jc w:val="both"/>
        <w:rPr>
          <w:highlight w:val="none"/>
        </w:rPr>
      </w:pPr>
      <w:r>
        <w:rPr>
          <w:rFonts w:ascii="仿宋_GB2312" w:hAnsi="仿宋_GB2312" w:eastAsia="仿宋_GB2312" w:cs="仿宋_GB2312"/>
          <w:highlight w:val="none"/>
        </w:rPr>
        <w:t>①报价一览表内容与分项报价表内容不一致的，以报价一览表为准；</w:t>
      </w:r>
    </w:p>
    <w:p w14:paraId="14B04509">
      <w:pPr>
        <w:pStyle w:val="11"/>
        <w:ind w:firstLine="480"/>
        <w:jc w:val="both"/>
        <w:rPr>
          <w:highlight w:val="none"/>
        </w:rPr>
      </w:pPr>
      <w:r>
        <w:rPr>
          <w:rFonts w:ascii="仿宋_GB2312" w:hAnsi="仿宋_GB2312" w:eastAsia="仿宋_GB2312" w:cs="仿宋_GB2312"/>
          <w:highlight w:val="none"/>
        </w:rPr>
        <w:t>②大写金额和小写金额不一致的，以大写金额为准；</w:t>
      </w:r>
    </w:p>
    <w:p w14:paraId="39B565D3">
      <w:pPr>
        <w:pStyle w:val="11"/>
        <w:ind w:firstLine="480"/>
        <w:jc w:val="both"/>
        <w:rPr>
          <w:highlight w:val="none"/>
        </w:rPr>
      </w:pPr>
      <w:r>
        <w:rPr>
          <w:rFonts w:ascii="仿宋_GB2312" w:hAnsi="仿宋_GB2312" w:eastAsia="仿宋_GB2312" w:cs="仿宋_GB2312"/>
          <w:highlight w:val="none"/>
        </w:rPr>
        <w:t>③单价金额小数点或百分比有明显错位的，以报价一览表的总价为准，并修改单价。</w:t>
      </w:r>
    </w:p>
    <w:p w14:paraId="36085BA2">
      <w:pPr>
        <w:pStyle w:val="11"/>
        <w:ind w:firstLine="480"/>
        <w:jc w:val="both"/>
        <w:rPr>
          <w:highlight w:val="none"/>
        </w:rPr>
      </w:pPr>
      <w:r>
        <w:rPr>
          <w:rFonts w:ascii="仿宋_GB2312" w:hAnsi="仿宋_GB2312" w:eastAsia="仿宋_GB2312" w:cs="仿宋_GB2312"/>
          <w:highlight w:val="none"/>
        </w:rPr>
        <w:t>④总价金额与按单价汇总金额不一致的，以单价金额计算结果为准；</w:t>
      </w:r>
    </w:p>
    <w:p w14:paraId="1BD3204F">
      <w:pPr>
        <w:pStyle w:val="11"/>
        <w:ind w:firstLine="480"/>
        <w:jc w:val="both"/>
        <w:rPr>
          <w:highlight w:val="none"/>
        </w:rPr>
      </w:pPr>
      <w:r>
        <w:rPr>
          <w:rFonts w:ascii="仿宋_GB2312" w:hAnsi="仿宋_GB2312" w:eastAsia="仿宋_GB2312" w:cs="仿宋_GB2312"/>
          <w:highlight w:val="none"/>
        </w:rPr>
        <w:t>※同时出现两种以上不一致的，按照前款规定的顺序修正。若</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小组按照上述规定修正，则相应供应商应予接受且修正后的报价对其起约束作用。若供应商不接受修正或未按照</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小组的要求提交修正后的报价确认意见，则视为该供应商未实质性响应</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要求，其符合性检查不合格。</w:t>
      </w:r>
    </w:p>
    <w:p w14:paraId="33FED4D8">
      <w:pPr>
        <w:pStyle w:val="11"/>
        <w:ind w:firstLine="480"/>
        <w:jc w:val="both"/>
        <w:rPr>
          <w:highlight w:val="none"/>
        </w:rPr>
      </w:pPr>
      <w:r>
        <w:rPr>
          <w:rFonts w:ascii="仿宋_GB2312" w:hAnsi="仿宋_GB2312" w:eastAsia="仿宋_GB2312" w:cs="仿宋_GB2312"/>
          <w:highlight w:val="none"/>
        </w:rPr>
        <w:t>（4）关于细微偏差</w:t>
      </w:r>
    </w:p>
    <w:p w14:paraId="0C12DF3F">
      <w:pPr>
        <w:pStyle w:val="11"/>
        <w:ind w:firstLine="480"/>
        <w:jc w:val="both"/>
        <w:rPr>
          <w:highlight w:val="none"/>
        </w:rPr>
      </w:pPr>
      <w:r>
        <w:rPr>
          <w:rFonts w:ascii="仿宋_GB2312" w:hAnsi="仿宋_GB2312" w:eastAsia="仿宋_GB2312" w:cs="仿宋_GB2312"/>
          <w:highlight w:val="none"/>
        </w:rPr>
        <w:t>①细微偏差指响应文件实质性响应</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要求，但在个别地方存在漏项或提供了不完整的技术信息和数据等情况，并且补正这些遗漏或不完整不会对其他供应商造成不公平的结果。细微偏差不影响响应文件的有效性。</w:t>
      </w:r>
    </w:p>
    <w:p w14:paraId="35A65328">
      <w:pPr>
        <w:pStyle w:val="11"/>
        <w:ind w:firstLine="480"/>
        <w:jc w:val="both"/>
        <w:rPr>
          <w:highlight w:val="none"/>
        </w:rPr>
      </w:pPr>
      <w:r>
        <w:rPr>
          <w:rFonts w:ascii="仿宋_GB2312" w:hAnsi="仿宋_GB2312" w:eastAsia="仿宋_GB2312" w:cs="仿宋_GB2312"/>
          <w:highlight w:val="none"/>
        </w:rPr>
        <w:t>②</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小组将以书面形式要求存在细微偏差的供应商在</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小组规定的时间内予以补正。若无法补正，则</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小组将按照不利于供应商的内容进行认定。</w:t>
      </w:r>
    </w:p>
    <w:p w14:paraId="375BF054">
      <w:pPr>
        <w:pStyle w:val="11"/>
        <w:ind w:firstLine="480"/>
        <w:jc w:val="both"/>
        <w:rPr>
          <w:highlight w:val="none"/>
        </w:rPr>
      </w:pPr>
      <w:r>
        <w:rPr>
          <w:rFonts w:ascii="仿宋_GB2312" w:hAnsi="仿宋_GB2312" w:eastAsia="仿宋_GB2312" w:cs="仿宋_GB2312"/>
          <w:highlight w:val="none"/>
        </w:rPr>
        <w:t>（5）关于响应描述（即响应文件中描述的内容）</w:t>
      </w:r>
    </w:p>
    <w:p w14:paraId="738D7512">
      <w:pPr>
        <w:pStyle w:val="11"/>
        <w:ind w:firstLine="480"/>
        <w:jc w:val="both"/>
        <w:rPr>
          <w:highlight w:val="none"/>
        </w:rPr>
      </w:pPr>
      <w:r>
        <w:rPr>
          <w:rFonts w:ascii="仿宋_GB2312" w:hAnsi="仿宋_GB2312" w:eastAsia="仿宋_GB2312" w:cs="仿宋_GB2312"/>
          <w:highlight w:val="none"/>
        </w:rPr>
        <w:t>①响应描述前后不一致且不涉及证明材料的：按照本章第2.2.5条第（1）、（2）款规定执行。</w:t>
      </w:r>
    </w:p>
    <w:p w14:paraId="2F82E03B">
      <w:pPr>
        <w:pStyle w:val="11"/>
        <w:ind w:firstLine="480"/>
        <w:jc w:val="both"/>
        <w:rPr>
          <w:highlight w:val="none"/>
        </w:rPr>
      </w:pPr>
      <w:r>
        <w:rPr>
          <w:rFonts w:ascii="仿宋_GB2312" w:hAnsi="仿宋_GB2312" w:eastAsia="仿宋_GB2312" w:cs="仿宋_GB2312"/>
          <w:highlight w:val="none"/>
        </w:rPr>
        <w:t>②响应描述与证明材料不一致或多份证明材料之间不一致的：</w:t>
      </w:r>
    </w:p>
    <w:p w14:paraId="1396B67B">
      <w:pPr>
        <w:pStyle w:val="11"/>
        <w:ind w:firstLine="480"/>
        <w:jc w:val="both"/>
        <w:rPr>
          <w:highlight w:val="none"/>
        </w:rPr>
      </w:pPr>
      <w:r>
        <w:rPr>
          <w:rFonts w:ascii="仿宋_GB2312" w:hAnsi="仿宋_GB2312" w:eastAsia="仿宋_GB2312" w:cs="仿宋_GB2312"/>
          <w:highlight w:val="none"/>
        </w:rPr>
        <w:t>a.</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小组将要求供应商进行书面澄清，并按照不利于供应商的内容进行评审。</w:t>
      </w:r>
    </w:p>
    <w:p w14:paraId="672B31BA">
      <w:pPr>
        <w:pStyle w:val="11"/>
        <w:ind w:firstLine="480"/>
        <w:jc w:val="both"/>
        <w:rPr>
          <w:highlight w:val="none"/>
        </w:rPr>
      </w:pPr>
      <w:r>
        <w:rPr>
          <w:rFonts w:ascii="仿宋_GB2312" w:hAnsi="仿宋_GB2312" w:eastAsia="仿宋_GB2312" w:cs="仿宋_GB2312"/>
          <w:highlight w:val="none"/>
        </w:rPr>
        <w:t>b.供应商按要求进行澄清的，采购人以澄清内容为准进行验收；供应商未按要求进行澄清的，采购人以响应描述或证明材料中有利于采购人的内容进行验收。供应商应对证明材料的真实性、有效性承担责任。</w:t>
      </w:r>
    </w:p>
    <w:p w14:paraId="3DF7BC87">
      <w:pPr>
        <w:pStyle w:val="11"/>
        <w:ind w:firstLine="480"/>
        <w:jc w:val="both"/>
        <w:rPr>
          <w:highlight w:val="none"/>
        </w:rPr>
      </w:pPr>
      <w:r>
        <w:rPr>
          <w:rFonts w:ascii="仿宋_GB2312" w:hAnsi="仿宋_GB2312" w:eastAsia="仿宋_GB2312" w:cs="仿宋_GB2312"/>
          <w:highlight w:val="none"/>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14:paraId="0ABE0E36">
      <w:pPr>
        <w:pStyle w:val="11"/>
        <w:ind w:firstLine="480"/>
        <w:jc w:val="both"/>
        <w:rPr>
          <w:highlight w:val="none"/>
        </w:rPr>
      </w:pPr>
      <w:r>
        <w:rPr>
          <w:rFonts w:ascii="仿宋_GB2312" w:hAnsi="仿宋_GB2312" w:eastAsia="仿宋_GB2312" w:cs="仿宋_GB2312"/>
          <w:highlight w:val="none"/>
        </w:rPr>
        <w:t>④响应文件提供的全部资料中，若原件属于非中文描述，但响应文件未提供中文译本或提供的中文译本不符合</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第二章第9.3条第（2）款规定，则该资料视为无效。</w:t>
      </w:r>
    </w:p>
    <w:p w14:paraId="5A821C55">
      <w:pPr>
        <w:pStyle w:val="11"/>
        <w:ind w:firstLine="480"/>
        <w:jc w:val="both"/>
        <w:rPr>
          <w:rFonts w:hint="eastAsia" w:eastAsia="仿宋_GB2312"/>
          <w:highlight w:val="none"/>
          <w:lang w:eastAsia="zh-CN"/>
        </w:rPr>
      </w:pPr>
      <w:r>
        <w:rPr>
          <w:rFonts w:ascii="仿宋_GB2312" w:hAnsi="仿宋_GB2312" w:eastAsia="仿宋_GB2312" w:cs="仿宋_GB2312"/>
          <w:highlight w:val="none"/>
        </w:rPr>
        <w:t>2.2.6</w:t>
      </w:r>
      <w:r>
        <w:rPr>
          <w:rFonts w:hint="eastAsia" w:ascii="仿宋_GB2312" w:hAnsi="仿宋_GB2312" w:eastAsia="仿宋_GB2312" w:cs="仿宋_GB2312"/>
          <w:highlight w:val="none"/>
          <w:lang w:eastAsia="zh-CN"/>
        </w:rPr>
        <w:t>询比</w:t>
      </w:r>
    </w:p>
    <w:p w14:paraId="11D175E3">
      <w:pPr>
        <w:pStyle w:val="11"/>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小组在</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过程中，不得改变</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所确定的技术和服务等要求、评审程序、评定成交的标准和合同文本等事项。</w:t>
      </w:r>
    </w:p>
    <w:p w14:paraId="0F9580BC">
      <w:pPr>
        <w:pStyle w:val="11"/>
        <w:ind w:firstLine="480"/>
        <w:jc w:val="both"/>
        <w:rPr>
          <w:highlight w:val="none"/>
        </w:rPr>
      </w:pP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）漏（缺）项</w:t>
      </w:r>
    </w:p>
    <w:p w14:paraId="11A2F400">
      <w:pPr>
        <w:pStyle w:val="11"/>
        <w:ind w:firstLine="480"/>
        <w:jc w:val="both"/>
        <w:rPr>
          <w:highlight w:val="none"/>
        </w:rPr>
      </w:pPr>
      <w:r>
        <w:rPr>
          <w:rFonts w:ascii="仿宋_GB2312" w:hAnsi="仿宋_GB2312" w:eastAsia="仿宋_GB2312" w:cs="仿宋_GB2312"/>
          <w:highlight w:val="none"/>
        </w:rPr>
        <w:t>①</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中要求列入报价的费用（含配置、功能），漏（缺）项的报价视为已经包括在报价总价中。</w:t>
      </w:r>
    </w:p>
    <w:p w14:paraId="216BD13D">
      <w:pPr>
        <w:pStyle w:val="11"/>
        <w:ind w:firstLine="480"/>
        <w:jc w:val="both"/>
        <w:rPr>
          <w:highlight w:val="none"/>
        </w:rPr>
      </w:pPr>
      <w:r>
        <w:rPr>
          <w:rFonts w:ascii="仿宋_GB2312" w:hAnsi="仿宋_GB2312" w:eastAsia="仿宋_GB2312" w:cs="仿宋_GB2312"/>
          <w:highlight w:val="none"/>
        </w:rPr>
        <w:t>②对多报项及赠送项的价格评审时不予核减，全部进入评审价评议。</w:t>
      </w:r>
    </w:p>
    <w:p w14:paraId="245F37B2">
      <w:pPr>
        <w:pStyle w:val="11"/>
        <w:ind w:firstLine="480"/>
        <w:jc w:val="both"/>
        <w:rPr>
          <w:highlight w:val="none"/>
        </w:rPr>
      </w:pP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）评审过程中，</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认为供应商的报价明显低于其他通过符合性审查供应商的报价，有可能影响产品质量或不能诚信履约的，应要求其在评审现场合理的时间内提供书面说明，并提交相关证明材料；供应商不能证明其报价合理性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小组应当将其作为无效响应文件。</w:t>
      </w:r>
    </w:p>
    <w:p w14:paraId="3DCB807A">
      <w:pPr>
        <w:pStyle w:val="11"/>
        <w:ind w:firstLine="480"/>
        <w:jc w:val="both"/>
        <w:rPr>
          <w:highlight w:val="none"/>
        </w:rPr>
      </w:pPr>
      <w:r>
        <w:rPr>
          <w:rFonts w:ascii="仿宋_GB2312" w:hAnsi="仿宋_GB2312" w:eastAsia="仿宋_GB2312" w:cs="仿宋_GB2312"/>
          <w:highlight w:val="none"/>
        </w:rPr>
        <w:t>2.2.7推荐成交候选人</w:t>
      </w:r>
    </w:p>
    <w:p w14:paraId="73973FA7">
      <w:pPr>
        <w:pStyle w:val="11"/>
        <w:ind w:firstLine="480"/>
        <w:jc w:val="left"/>
        <w:rPr>
          <w:rFonts w:ascii="仿宋_GB2312" w:hAnsi="仿宋_GB2312" w:eastAsia="仿宋_GB2312" w:cs="仿宋_GB2312"/>
          <w:highlight w:val="none"/>
        </w:rPr>
      </w:pP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采购包1：最低评标价法</w:t>
      </w:r>
    </w:p>
    <w:p w14:paraId="05EDCFA3">
      <w:pPr>
        <w:pStyle w:val="11"/>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2.2.7.1</w:t>
      </w:r>
      <w:r>
        <w:rPr>
          <w:rFonts w:ascii="仿宋_GB2312" w:hAnsi="仿宋_GB2312" w:eastAsia="仿宋_GB2312" w:cs="仿宋_GB2312"/>
          <w:highlight w:val="none"/>
        </w:rPr>
        <w:t>响应文件满足</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全部实质性要求，且响应报价最低的供应商为成交候选供应商。</w:t>
      </w:r>
    </w:p>
    <w:p w14:paraId="4ABD02CA">
      <w:pPr>
        <w:pStyle w:val="11"/>
        <w:ind w:firstLine="480"/>
        <w:jc w:val="both"/>
        <w:rPr>
          <w:rFonts w:ascii="仿宋_GB2312" w:hAnsi="仿宋_GB2312" w:eastAsia="仿宋_GB2312" w:cs="仿宋_GB2312"/>
          <w:highlight w:val="none"/>
        </w:rPr>
      </w:pPr>
      <w:r>
        <w:rPr>
          <w:rFonts w:ascii="仿宋_GB2312" w:hAnsi="仿宋_GB2312" w:eastAsia="仿宋_GB2312" w:cs="仿宋_GB2312"/>
          <w:highlight w:val="none"/>
        </w:rPr>
        <w:sym w:font="Wingdings 2" w:char="00A3"/>
      </w:r>
      <w:r>
        <w:rPr>
          <w:rFonts w:ascii="仿宋_GB2312" w:hAnsi="仿宋_GB2312" w:eastAsia="仿宋_GB2312" w:cs="仿宋_GB2312"/>
          <w:highlight w:val="none"/>
        </w:rPr>
        <w:t>综合评分法</w:t>
      </w:r>
    </w:p>
    <w:p w14:paraId="5C0F7BF3">
      <w:pPr>
        <w:pStyle w:val="11"/>
        <w:ind w:firstLine="480"/>
        <w:jc w:val="both"/>
        <w:rPr>
          <w:highlight w:val="none"/>
        </w:rPr>
      </w:pPr>
      <w:r>
        <w:rPr>
          <w:rFonts w:hint="eastAsia" w:ascii="仿宋_GB2312" w:hAnsi="仿宋_GB2312" w:eastAsia="仿宋_GB2312" w:cs="仿宋_GB2312"/>
          <w:highlight w:val="none"/>
          <w:lang w:val="en-US" w:eastAsia="zh-CN"/>
        </w:rPr>
        <w:t>2.2.7.2</w:t>
      </w:r>
      <w:r>
        <w:rPr>
          <w:rFonts w:ascii="仿宋_GB2312" w:hAnsi="仿宋_GB2312" w:eastAsia="仿宋_GB2312" w:cs="仿宋_GB2312"/>
          <w:highlight w:val="none"/>
        </w:rPr>
        <w:t>评标标准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响应</w:t>
      </w:r>
      <w:r>
        <w:rPr>
          <w:rFonts w:ascii="仿宋_GB2312" w:hAnsi="仿宋_GB2312" w:eastAsia="仿宋_GB2312" w:cs="仿宋_GB2312"/>
          <w:highlight w:val="none"/>
        </w:rPr>
        <w:t>文件满足</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文件全部实质性要求，且按照评审因素的量化指标评审得分（即评标总得分）最高的</w:t>
      </w:r>
      <w:r>
        <w:rPr>
          <w:rFonts w:hint="eastAsia" w:ascii="仿宋_GB2312" w:hAnsi="仿宋_GB2312" w:eastAsia="仿宋_GB2312" w:cs="仿宋_GB2312"/>
          <w:highlight w:val="none"/>
          <w:lang w:eastAsia="zh-CN"/>
        </w:rPr>
        <w:t>供应商为第一成交</w:t>
      </w:r>
      <w:r>
        <w:rPr>
          <w:rFonts w:ascii="仿宋_GB2312" w:hAnsi="仿宋_GB2312" w:eastAsia="仿宋_GB2312" w:cs="仿宋_GB2312"/>
          <w:highlight w:val="none"/>
        </w:rPr>
        <w:t>候选人。</w:t>
      </w:r>
    </w:p>
    <w:p w14:paraId="4FFCF5EA">
      <w:pPr>
        <w:pStyle w:val="11"/>
        <w:jc w:val="both"/>
        <w:rPr>
          <w:highlight w:val="none"/>
        </w:rPr>
      </w:pPr>
      <w:r>
        <w:rPr>
          <w:rFonts w:ascii="仿宋_GB2312" w:hAnsi="仿宋_GB2312" w:eastAsia="仿宋_GB2312" w:cs="仿宋_GB2312"/>
          <w:highlight w:val="none"/>
        </w:rPr>
        <w:t>（2）每个</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的评</w:t>
      </w:r>
      <w:r>
        <w:rPr>
          <w:rFonts w:hint="eastAsia" w:ascii="仿宋_GB2312" w:hAnsi="仿宋_GB2312" w:eastAsia="仿宋_GB2312" w:cs="仿宋_GB2312"/>
          <w:highlight w:val="none"/>
          <w:lang w:eastAsia="zh-CN"/>
        </w:rPr>
        <w:t>审</w:t>
      </w:r>
      <w:r>
        <w:rPr>
          <w:rFonts w:ascii="仿宋_GB2312" w:hAnsi="仿宋_GB2312" w:eastAsia="仿宋_GB2312" w:cs="仿宋_GB2312"/>
          <w:highlight w:val="none"/>
        </w:rPr>
        <w:t>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D8BE250">
      <w:pPr>
        <w:pStyle w:val="11"/>
        <w:jc w:val="both"/>
        <w:rPr>
          <w:highlight w:val="none"/>
        </w:rPr>
      </w:pPr>
      <w:r>
        <w:rPr>
          <w:rFonts w:ascii="仿宋_GB2312" w:hAnsi="仿宋_GB2312" w:eastAsia="仿宋_GB2312" w:cs="仿宋_GB2312"/>
          <w:highlight w:val="none"/>
        </w:rPr>
        <w:t>各项评审因素的设置如下：</w:t>
      </w:r>
    </w:p>
    <w:p w14:paraId="44E2CD1A">
      <w:pPr>
        <w:pStyle w:val="11"/>
        <w:jc w:val="both"/>
        <w:rPr>
          <w:highlight w:val="none"/>
        </w:rPr>
      </w:pPr>
      <w:r>
        <w:rPr>
          <w:rFonts w:ascii="仿宋_GB2312" w:hAnsi="仿宋_GB2312" w:eastAsia="仿宋_GB2312" w:cs="仿宋_GB2312"/>
          <w:highlight w:val="none"/>
        </w:rPr>
        <w:t>价格项（F1×A1）满分为</w:t>
      </w:r>
      <w:r>
        <w:rPr>
          <w:rFonts w:hint="eastAsia" w:ascii="仿宋_GB2312" w:hAnsi="仿宋_GB2312" w:eastAsia="仿宋_GB2312" w:cs="仿宋_GB2312"/>
          <w:highlight w:val="none"/>
          <w:u w:val="single"/>
          <w:lang w:eastAsia="zh-CN"/>
        </w:rPr>
        <w:t xml:space="preserve"> </w:t>
      </w:r>
      <w:r>
        <w:rPr>
          <w:rFonts w:hint="eastAsia"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，具体要求：</w:t>
      </w:r>
      <w:r>
        <w:rPr>
          <w:rFonts w:hint="eastAsia" w:ascii="仿宋_GB2312" w:hAnsi="仿宋_GB2312" w:eastAsia="仿宋_GB2312" w:cs="仿宋_GB2312"/>
          <w:highlight w:val="none"/>
          <w:u w:val="single"/>
          <w:lang w:val="en-US" w:eastAsia="zh-CN"/>
        </w:rPr>
        <w:t xml:space="preserve">     </w:t>
      </w:r>
    </w:p>
    <w:p w14:paraId="5A4EC2EB">
      <w:pPr>
        <w:pStyle w:val="11"/>
        <w:jc w:val="both"/>
        <w:rPr>
          <w:highlight w:val="none"/>
        </w:rPr>
      </w:pPr>
      <w:r>
        <w:rPr>
          <w:rFonts w:ascii="仿宋_GB2312" w:hAnsi="仿宋_GB2312" w:eastAsia="仿宋_GB2312" w:cs="仿宋_GB2312"/>
          <w:highlight w:val="none"/>
        </w:rPr>
        <w:t>技术项（F2×A2）满分为</w:t>
      </w:r>
      <w:r>
        <w:rPr>
          <w:rFonts w:hint="eastAsia" w:ascii="仿宋_GB2312" w:hAnsi="仿宋_GB2312" w:eastAsia="仿宋_GB2312" w:cs="仿宋_GB2312"/>
          <w:highlight w:val="none"/>
          <w:u w:val="single"/>
          <w:lang w:eastAsia="zh-CN"/>
        </w:rPr>
        <w:t xml:space="preserve"> </w:t>
      </w:r>
      <w:r>
        <w:rPr>
          <w:rFonts w:hint="eastAsia"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分</w:t>
      </w:r>
    </w:p>
    <w:tbl>
      <w:tblPr>
        <w:tblStyle w:val="9"/>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1FAAD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6EBB3087">
            <w:pPr>
              <w:pStyle w:val="11"/>
              <w:jc w:val="center"/>
              <w:rPr>
                <w:highlight w:val="none"/>
              </w:rPr>
            </w:pPr>
            <w:r>
              <w:rPr>
                <w:rFonts w:ascii="仿宋_GB2312" w:hAnsi="仿宋_GB2312" w:eastAsia="仿宋_GB2312" w:cs="仿宋_GB2312"/>
                <w:highlight w:val="none"/>
              </w:rPr>
              <w:t>项目</w:t>
            </w:r>
          </w:p>
        </w:tc>
        <w:tc>
          <w:tcPr>
            <w:tcW w:w="831" w:type="dxa"/>
            <w:vAlign w:val="center"/>
          </w:tcPr>
          <w:p w14:paraId="22723016">
            <w:pPr>
              <w:pStyle w:val="11"/>
              <w:jc w:val="center"/>
              <w:rPr>
                <w:highlight w:val="none"/>
              </w:rPr>
            </w:pPr>
            <w:r>
              <w:rPr>
                <w:rFonts w:ascii="仿宋_GB2312" w:hAnsi="仿宋_GB2312" w:eastAsia="仿宋_GB2312" w:cs="仿宋_GB2312"/>
                <w:highlight w:val="none"/>
              </w:rPr>
              <w:t>分值</w:t>
            </w:r>
          </w:p>
        </w:tc>
        <w:tc>
          <w:tcPr>
            <w:tcW w:w="416" w:type="dxa"/>
            <w:vAlign w:val="center"/>
          </w:tcPr>
          <w:p w14:paraId="606ED60B">
            <w:pPr>
              <w:pStyle w:val="11"/>
              <w:jc w:val="center"/>
              <w:rPr>
                <w:highlight w:val="none"/>
              </w:rPr>
            </w:pPr>
            <w:r>
              <w:rPr>
                <w:rFonts w:ascii="仿宋_GB2312" w:hAnsi="仿宋_GB2312" w:eastAsia="仿宋_GB2312" w:cs="仿宋_GB2312"/>
                <w:highlight w:val="none"/>
              </w:rPr>
              <w:t>是否客观项</w:t>
            </w:r>
          </w:p>
        </w:tc>
        <w:tc>
          <w:tcPr>
            <w:tcW w:w="3738" w:type="dxa"/>
            <w:vAlign w:val="center"/>
          </w:tcPr>
          <w:p w14:paraId="0C28B5C9">
            <w:pPr>
              <w:pStyle w:val="11"/>
              <w:jc w:val="center"/>
              <w:rPr>
                <w:highlight w:val="none"/>
              </w:rPr>
            </w:pPr>
            <w:r>
              <w:rPr>
                <w:rFonts w:ascii="仿宋_GB2312" w:hAnsi="仿宋_GB2312" w:eastAsia="仿宋_GB2312" w:cs="仿宋_GB2312"/>
                <w:highlight w:val="none"/>
              </w:rPr>
              <w:t>描述</w:t>
            </w:r>
          </w:p>
        </w:tc>
      </w:tr>
      <w:tr w14:paraId="4486D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BDBC825">
            <w:pPr>
              <w:pStyle w:val="11"/>
              <w:jc w:val="both"/>
              <w:rPr>
                <w:highlight w:val="none"/>
              </w:rPr>
            </w:pPr>
          </w:p>
        </w:tc>
        <w:tc>
          <w:tcPr>
            <w:tcW w:w="831" w:type="dxa"/>
          </w:tcPr>
          <w:p w14:paraId="47F0BA0C">
            <w:pPr>
              <w:pStyle w:val="11"/>
              <w:jc w:val="right"/>
              <w:rPr>
                <w:highlight w:val="none"/>
              </w:rPr>
            </w:pPr>
          </w:p>
        </w:tc>
        <w:tc>
          <w:tcPr>
            <w:tcW w:w="416" w:type="dxa"/>
          </w:tcPr>
          <w:p w14:paraId="46F654C2">
            <w:pPr>
              <w:pStyle w:val="11"/>
              <w:jc w:val="both"/>
              <w:rPr>
                <w:highlight w:val="none"/>
              </w:rPr>
            </w:pPr>
          </w:p>
        </w:tc>
        <w:tc>
          <w:tcPr>
            <w:tcW w:w="3738" w:type="dxa"/>
          </w:tcPr>
          <w:p w14:paraId="28D7D020">
            <w:pPr>
              <w:pStyle w:val="11"/>
              <w:jc w:val="both"/>
              <w:rPr>
                <w:highlight w:val="none"/>
              </w:rPr>
            </w:pPr>
          </w:p>
        </w:tc>
      </w:tr>
      <w:tr w14:paraId="59B9D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08D13E">
            <w:pPr>
              <w:pStyle w:val="11"/>
              <w:jc w:val="both"/>
              <w:rPr>
                <w:highlight w:val="none"/>
              </w:rPr>
            </w:pPr>
          </w:p>
        </w:tc>
        <w:tc>
          <w:tcPr>
            <w:tcW w:w="831" w:type="dxa"/>
          </w:tcPr>
          <w:p w14:paraId="78921CCF">
            <w:pPr>
              <w:pStyle w:val="11"/>
              <w:jc w:val="right"/>
              <w:rPr>
                <w:highlight w:val="none"/>
              </w:rPr>
            </w:pPr>
          </w:p>
        </w:tc>
        <w:tc>
          <w:tcPr>
            <w:tcW w:w="416" w:type="dxa"/>
          </w:tcPr>
          <w:p w14:paraId="1FF9FBAD">
            <w:pPr>
              <w:pStyle w:val="11"/>
              <w:jc w:val="both"/>
              <w:rPr>
                <w:highlight w:val="none"/>
              </w:rPr>
            </w:pPr>
          </w:p>
        </w:tc>
        <w:tc>
          <w:tcPr>
            <w:tcW w:w="3738" w:type="dxa"/>
          </w:tcPr>
          <w:p w14:paraId="60F6A1C0">
            <w:pPr>
              <w:pStyle w:val="11"/>
              <w:jc w:val="both"/>
              <w:rPr>
                <w:highlight w:val="none"/>
              </w:rPr>
            </w:pPr>
          </w:p>
        </w:tc>
      </w:tr>
    </w:tbl>
    <w:p w14:paraId="0957BDAD">
      <w:pPr>
        <w:pStyle w:val="11"/>
        <w:jc w:val="both"/>
        <w:rPr>
          <w:highlight w:val="none"/>
        </w:rPr>
      </w:pPr>
      <w:r>
        <w:rPr>
          <w:rFonts w:ascii="仿宋_GB2312" w:hAnsi="仿宋_GB2312" w:eastAsia="仿宋_GB2312" w:cs="仿宋_GB2312"/>
          <w:highlight w:val="none"/>
        </w:rPr>
        <w:t>商务项（F3×A3）满分为</w:t>
      </w:r>
      <w:r>
        <w:rPr>
          <w:rFonts w:hint="eastAsia" w:ascii="仿宋_GB2312" w:hAnsi="仿宋_GB2312" w:eastAsia="仿宋_GB2312" w:cs="仿宋_GB2312"/>
          <w:highlight w:val="none"/>
          <w:u w:val="single"/>
          <w:lang w:eastAsia="zh-CN"/>
        </w:rPr>
        <w:t xml:space="preserve"> </w:t>
      </w:r>
      <w:r>
        <w:rPr>
          <w:rFonts w:hint="eastAsia"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分</w:t>
      </w:r>
    </w:p>
    <w:tbl>
      <w:tblPr>
        <w:tblStyle w:val="9"/>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65C9A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14:paraId="1ACFDB49">
            <w:pPr>
              <w:pStyle w:val="11"/>
              <w:jc w:val="center"/>
              <w:rPr>
                <w:highlight w:val="none"/>
              </w:rPr>
            </w:pPr>
            <w:r>
              <w:rPr>
                <w:rFonts w:ascii="仿宋_GB2312" w:hAnsi="仿宋_GB2312" w:eastAsia="仿宋_GB2312" w:cs="仿宋_GB2312"/>
                <w:highlight w:val="none"/>
              </w:rPr>
              <w:t>项目</w:t>
            </w:r>
          </w:p>
        </w:tc>
        <w:tc>
          <w:tcPr>
            <w:tcW w:w="831" w:type="dxa"/>
            <w:vAlign w:val="center"/>
          </w:tcPr>
          <w:p w14:paraId="5EE80FFA">
            <w:pPr>
              <w:pStyle w:val="11"/>
              <w:jc w:val="center"/>
              <w:rPr>
                <w:highlight w:val="none"/>
              </w:rPr>
            </w:pPr>
            <w:r>
              <w:rPr>
                <w:rFonts w:ascii="仿宋_GB2312" w:hAnsi="仿宋_GB2312" w:eastAsia="仿宋_GB2312" w:cs="仿宋_GB2312"/>
                <w:highlight w:val="none"/>
              </w:rPr>
              <w:t>分值</w:t>
            </w:r>
          </w:p>
        </w:tc>
        <w:tc>
          <w:tcPr>
            <w:tcW w:w="416" w:type="dxa"/>
            <w:vAlign w:val="center"/>
          </w:tcPr>
          <w:p w14:paraId="210A018F">
            <w:pPr>
              <w:pStyle w:val="11"/>
              <w:jc w:val="center"/>
              <w:rPr>
                <w:highlight w:val="none"/>
              </w:rPr>
            </w:pPr>
            <w:r>
              <w:rPr>
                <w:rFonts w:ascii="仿宋_GB2312" w:hAnsi="仿宋_GB2312" w:eastAsia="仿宋_GB2312" w:cs="仿宋_GB2312"/>
                <w:highlight w:val="none"/>
              </w:rPr>
              <w:t>是否客观项</w:t>
            </w:r>
          </w:p>
        </w:tc>
        <w:tc>
          <w:tcPr>
            <w:tcW w:w="3738" w:type="dxa"/>
            <w:vAlign w:val="center"/>
          </w:tcPr>
          <w:p w14:paraId="50B5F633">
            <w:pPr>
              <w:pStyle w:val="11"/>
              <w:jc w:val="center"/>
              <w:rPr>
                <w:highlight w:val="none"/>
              </w:rPr>
            </w:pPr>
            <w:r>
              <w:rPr>
                <w:rFonts w:ascii="仿宋_GB2312" w:hAnsi="仿宋_GB2312" w:eastAsia="仿宋_GB2312" w:cs="仿宋_GB2312"/>
                <w:highlight w:val="none"/>
              </w:rPr>
              <w:t>描述</w:t>
            </w:r>
          </w:p>
        </w:tc>
      </w:tr>
      <w:tr w14:paraId="426CD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77E60F">
            <w:pPr>
              <w:pStyle w:val="11"/>
              <w:jc w:val="left"/>
              <w:rPr>
                <w:highlight w:val="none"/>
              </w:rPr>
            </w:pPr>
          </w:p>
        </w:tc>
        <w:tc>
          <w:tcPr>
            <w:tcW w:w="831" w:type="dxa"/>
          </w:tcPr>
          <w:p w14:paraId="795E27B4">
            <w:pPr>
              <w:pStyle w:val="11"/>
              <w:jc w:val="right"/>
              <w:rPr>
                <w:highlight w:val="none"/>
              </w:rPr>
            </w:pPr>
          </w:p>
        </w:tc>
        <w:tc>
          <w:tcPr>
            <w:tcW w:w="416" w:type="dxa"/>
          </w:tcPr>
          <w:p w14:paraId="394481AD">
            <w:pPr>
              <w:pStyle w:val="11"/>
              <w:jc w:val="left"/>
              <w:rPr>
                <w:highlight w:val="none"/>
              </w:rPr>
            </w:pPr>
          </w:p>
        </w:tc>
        <w:tc>
          <w:tcPr>
            <w:tcW w:w="3738" w:type="dxa"/>
          </w:tcPr>
          <w:p w14:paraId="33F91A60">
            <w:pPr>
              <w:pStyle w:val="11"/>
              <w:jc w:val="left"/>
              <w:rPr>
                <w:highlight w:val="none"/>
              </w:rPr>
            </w:pPr>
          </w:p>
        </w:tc>
      </w:tr>
      <w:tr w14:paraId="6760A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241A92">
            <w:pPr>
              <w:pStyle w:val="11"/>
              <w:jc w:val="left"/>
              <w:rPr>
                <w:highlight w:val="none"/>
              </w:rPr>
            </w:pPr>
          </w:p>
        </w:tc>
        <w:tc>
          <w:tcPr>
            <w:tcW w:w="831" w:type="dxa"/>
          </w:tcPr>
          <w:p w14:paraId="17A06DC0">
            <w:pPr>
              <w:pStyle w:val="11"/>
              <w:jc w:val="right"/>
              <w:rPr>
                <w:highlight w:val="none"/>
              </w:rPr>
            </w:pPr>
          </w:p>
        </w:tc>
        <w:tc>
          <w:tcPr>
            <w:tcW w:w="416" w:type="dxa"/>
          </w:tcPr>
          <w:p w14:paraId="19202FA5">
            <w:pPr>
              <w:pStyle w:val="11"/>
              <w:jc w:val="left"/>
              <w:rPr>
                <w:highlight w:val="none"/>
              </w:rPr>
            </w:pPr>
          </w:p>
        </w:tc>
        <w:tc>
          <w:tcPr>
            <w:tcW w:w="3738" w:type="dxa"/>
          </w:tcPr>
          <w:p w14:paraId="78D17B0A">
            <w:pPr>
              <w:pStyle w:val="11"/>
              <w:jc w:val="left"/>
              <w:rPr>
                <w:highlight w:val="none"/>
              </w:rPr>
            </w:pPr>
          </w:p>
        </w:tc>
      </w:tr>
    </w:tbl>
    <w:p w14:paraId="472B45E4">
      <w:pPr>
        <w:pStyle w:val="11"/>
        <w:jc w:val="left"/>
        <w:rPr>
          <w:rFonts w:ascii="仿宋_GB2312" w:hAnsi="仿宋_GB2312" w:eastAsia="仿宋_GB2312" w:cs="仿宋_GB2312"/>
          <w:highlight w:val="none"/>
        </w:rPr>
      </w:pPr>
    </w:p>
    <w:p w14:paraId="7532C6B3">
      <w:pPr>
        <w:pStyle w:val="11"/>
        <w:jc w:val="left"/>
        <w:rPr>
          <w:highlight w:val="none"/>
        </w:rPr>
      </w:pPr>
      <w:r>
        <w:rPr>
          <w:rFonts w:ascii="仿宋_GB2312" w:hAnsi="仿宋_GB2312" w:eastAsia="仿宋_GB2312" w:cs="仿宋_GB2312"/>
          <w:highlight w:val="none"/>
        </w:rPr>
        <w:t>（3）成交候选供应商排列规则顺序如下：</w:t>
      </w:r>
    </w:p>
    <w:p w14:paraId="05BA8988">
      <w:pPr>
        <w:pStyle w:val="11"/>
        <w:jc w:val="both"/>
        <w:rPr>
          <w:highlight w:val="none"/>
        </w:rPr>
      </w:pPr>
      <w:bookmarkStart w:id="15" w:name="OLE_LINK10"/>
      <w:r>
        <w:rPr>
          <w:rFonts w:ascii="仿宋_GB2312" w:hAnsi="仿宋_GB2312" w:eastAsia="仿宋_GB2312" w:cs="仿宋_GB2312"/>
          <w:highlight w:val="none"/>
        </w:rPr>
        <w:t>a.按照评</w:t>
      </w:r>
      <w:r>
        <w:rPr>
          <w:rFonts w:hint="eastAsia" w:ascii="仿宋_GB2312" w:hAnsi="仿宋_GB2312" w:eastAsia="仿宋_GB2312" w:cs="仿宋_GB2312"/>
          <w:highlight w:val="none"/>
          <w:lang w:eastAsia="zh-CN"/>
        </w:rPr>
        <w:t>审</w:t>
      </w:r>
      <w:r>
        <w:rPr>
          <w:rFonts w:ascii="仿宋_GB2312" w:hAnsi="仿宋_GB2312" w:eastAsia="仿宋_GB2312" w:cs="仿宋_GB2312"/>
          <w:highlight w:val="none"/>
        </w:rPr>
        <w:t>总得分（FA）由高到低顺序排列。</w:t>
      </w:r>
    </w:p>
    <w:p w14:paraId="6A1901F9">
      <w:pPr>
        <w:pStyle w:val="11"/>
        <w:jc w:val="both"/>
        <w:rPr>
          <w:highlight w:val="none"/>
        </w:rPr>
      </w:pPr>
      <w:r>
        <w:rPr>
          <w:rFonts w:ascii="仿宋_GB2312" w:hAnsi="仿宋_GB2312" w:eastAsia="仿宋_GB2312" w:cs="仿宋_GB2312"/>
          <w:highlight w:val="none"/>
        </w:rPr>
        <w:t>b.评</w:t>
      </w:r>
      <w:r>
        <w:rPr>
          <w:rFonts w:hint="eastAsia" w:ascii="仿宋_GB2312" w:hAnsi="仿宋_GB2312" w:eastAsia="仿宋_GB2312" w:cs="仿宋_GB2312"/>
          <w:highlight w:val="none"/>
          <w:lang w:eastAsia="zh-CN"/>
        </w:rPr>
        <w:t>审</w:t>
      </w:r>
      <w:r>
        <w:rPr>
          <w:rFonts w:ascii="仿宋_GB2312" w:hAnsi="仿宋_GB2312" w:eastAsia="仿宋_GB2312" w:cs="仿宋_GB2312"/>
          <w:highlight w:val="none"/>
        </w:rPr>
        <w:t>总得分（FA）相同的，按照</w:t>
      </w:r>
      <w:bookmarkStart w:id="16" w:name="OLE_LINK9"/>
      <w:r>
        <w:rPr>
          <w:rFonts w:hint="eastAsia" w:ascii="仿宋_GB2312" w:hAnsi="仿宋_GB2312" w:eastAsia="仿宋_GB2312" w:cs="仿宋_GB2312"/>
          <w:highlight w:val="none"/>
          <w:lang w:val="en-US" w:eastAsia="zh-CN"/>
        </w:rPr>
        <w:t>价格项得分</w:t>
      </w:r>
      <w:bookmarkEnd w:id="16"/>
      <w:r>
        <w:rPr>
          <w:rFonts w:ascii="仿宋_GB2312" w:hAnsi="仿宋_GB2312" w:eastAsia="仿宋_GB2312" w:cs="仿宋_GB2312"/>
          <w:highlight w:val="none"/>
        </w:rPr>
        <w:t>由</w:t>
      </w:r>
      <w:r>
        <w:rPr>
          <w:rFonts w:hint="eastAsia" w:ascii="仿宋_GB2312" w:hAnsi="仿宋_GB2312" w:eastAsia="仿宋_GB2312" w:cs="仿宋_GB2312"/>
          <w:highlight w:val="none"/>
          <w:lang w:val="en-US" w:eastAsia="zh-CN"/>
        </w:rPr>
        <w:t>高</w:t>
      </w:r>
      <w:r>
        <w:rPr>
          <w:rFonts w:ascii="仿宋_GB2312" w:hAnsi="仿宋_GB2312" w:eastAsia="仿宋_GB2312" w:cs="仿宋_GB2312"/>
          <w:highlight w:val="none"/>
        </w:rPr>
        <w:t>到</w:t>
      </w:r>
      <w:r>
        <w:rPr>
          <w:rFonts w:hint="eastAsia" w:ascii="仿宋_GB2312" w:hAnsi="仿宋_GB2312" w:eastAsia="仿宋_GB2312" w:cs="仿宋_GB2312"/>
          <w:highlight w:val="none"/>
          <w:lang w:val="en-US" w:eastAsia="zh-CN"/>
        </w:rPr>
        <w:t>低</w:t>
      </w:r>
      <w:r>
        <w:rPr>
          <w:rFonts w:ascii="仿宋_GB2312" w:hAnsi="仿宋_GB2312" w:eastAsia="仿宋_GB2312" w:cs="仿宋_GB2312"/>
          <w:highlight w:val="none"/>
        </w:rPr>
        <w:t>顺序排列。</w:t>
      </w:r>
    </w:p>
    <w:p w14:paraId="378ECF23">
      <w:pPr>
        <w:pStyle w:val="11"/>
        <w:jc w:val="both"/>
        <w:rPr>
          <w:highlight w:val="none"/>
        </w:rPr>
      </w:pPr>
      <w:r>
        <w:rPr>
          <w:rFonts w:ascii="仿宋_GB2312" w:hAnsi="仿宋_GB2312" w:eastAsia="仿宋_GB2312" w:cs="仿宋_GB2312"/>
          <w:highlight w:val="none"/>
        </w:rPr>
        <w:t>c.评标总得分（FA）且</w:t>
      </w:r>
      <w:r>
        <w:rPr>
          <w:rFonts w:hint="eastAsia" w:ascii="仿宋_GB2312" w:hAnsi="仿宋_GB2312" w:eastAsia="仿宋_GB2312" w:cs="仿宋_GB2312"/>
          <w:highlight w:val="none"/>
          <w:lang w:val="en-US" w:eastAsia="zh-CN"/>
        </w:rPr>
        <w:t>价格项得分</w:t>
      </w:r>
      <w:r>
        <w:rPr>
          <w:rFonts w:ascii="仿宋_GB2312" w:hAnsi="仿宋_GB2312" w:eastAsia="仿宋_GB2312" w:cs="仿宋_GB2312"/>
          <w:highlight w:val="none"/>
        </w:rPr>
        <w:t>相同的并列</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则按技术项的得分从高到低顺序排列推荐中标候选人；若</w:t>
      </w: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的评标总得分（FA）且</w:t>
      </w:r>
      <w:r>
        <w:rPr>
          <w:rFonts w:hint="eastAsia" w:ascii="仿宋_GB2312" w:hAnsi="仿宋_GB2312" w:eastAsia="仿宋_GB2312" w:cs="仿宋_GB2312"/>
          <w:highlight w:val="none"/>
          <w:lang w:val="en-US" w:eastAsia="zh-CN"/>
        </w:rPr>
        <w:t>价格项得分</w:t>
      </w:r>
      <w:r>
        <w:rPr>
          <w:rFonts w:hint="eastAsia" w:ascii="仿宋_GB2312" w:hAnsi="仿宋_GB2312" w:eastAsia="仿宋_GB2312" w:cs="仿宋_GB2312"/>
          <w:highlight w:val="none"/>
        </w:rPr>
        <w:t>相同、技术项的得分也相同的，则评标委员会在有关监督人员的监督下通过随机抽取的形式，确定排名顺序。</w:t>
      </w:r>
    </w:p>
    <w:bookmarkEnd w:id="15"/>
    <w:p w14:paraId="22CD164C">
      <w:pPr>
        <w:pStyle w:val="11"/>
        <w:jc w:val="center"/>
        <w:outlineLvl w:val="2"/>
        <w:rPr>
          <w:highlight w:val="none"/>
        </w:rPr>
      </w:pPr>
      <w:r>
        <w:rPr>
          <w:rFonts w:ascii="仿宋_GB2312" w:hAnsi="仿宋_GB2312" w:eastAsia="仿宋_GB2312" w:cs="仿宋_GB2312"/>
          <w:b/>
          <w:sz w:val="28"/>
          <w:highlight w:val="none"/>
        </w:rPr>
        <w:t>三、评审报告</w:t>
      </w:r>
    </w:p>
    <w:p w14:paraId="22B96065">
      <w:pPr>
        <w:pStyle w:val="11"/>
        <w:ind w:firstLine="480"/>
        <w:jc w:val="both"/>
        <w:rPr>
          <w:highlight w:val="none"/>
        </w:rPr>
      </w:pPr>
      <w:r>
        <w:rPr>
          <w:rFonts w:ascii="仿宋_GB2312" w:hAnsi="仿宋_GB2312" w:eastAsia="仿宋_GB2312" w:cs="仿宋_GB2312"/>
          <w:highlight w:val="none"/>
        </w:rPr>
        <w:t>3.1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小组完成评审后，应当编写评审报告并提交给采购代理机构，采购代理机构应当在评审结束后2个工作日内将评审报告送采购人确认。</w:t>
      </w:r>
    </w:p>
    <w:p w14:paraId="3B9D8C1A">
      <w:pPr>
        <w:pStyle w:val="11"/>
        <w:ind w:firstLine="480"/>
        <w:jc w:val="both"/>
        <w:rPr>
          <w:highlight w:val="none"/>
        </w:rPr>
      </w:pPr>
      <w:r>
        <w:rPr>
          <w:rFonts w:ascii="仿宋_GB2312" w:hAnsi="仿宋_GB2312" w:eastAsia="仿宋_GB2312" w:cs="仿宋_GB2312"/>
          <w:highlight w:val="none"/>
        </w:rPr>
        <w:t>3.2评审报告应当包括以下主要内容：</w:t>
      </w:r>
    </w:p>
    <w:p w14:paraId="7D524E56">
      <w:pPr>
        <w:pStyle w:val="11"/>
        <w:ind w:firstLine="480"/>
        <w:jc w:val="both"/>
        <w:rPr>
          <w:highlight w:val="none"/>
        </w:rPr>
      </w:pPr>
      <w:r>
        <w:rPr>
          <w:rFonts w:ascii="仿宋_GB2312" w:hAnsi="仿宋_GB2312" w:eastAsia="仿宋_GB2312" w:cs="仿宋_GB2312"/>
          <w:highlight w:val="none"/>
        </w:rPr>
        <w:t>（一）邀请供应商参加采购活动的具体方式和相关情况，以及参加采购活动的供应商名单；</w:t>
      </w:r>
    </w:p>
    <w:p w14:paraId="77E4E2C8">
      <w:pPr>
        <w:pStyle w:val="11"/>
        <w:ind w:firstLine="480"/>
        <w:jc w:val="both"/>
        <w:rPr>
          <w:highlight w:val="none"/>
        </w:rPr>
      </w:pPr>
      <w:r>
        <w:rPr>
          <w:rFonts w:ascii="仿宋_GB2312" w:hAnsi="仿宋_GB2312" w:eastAsia="仿宋_GB2312" w:cs="仿宋_GB2312"/>
          <w:highlight w:val="none"/>
        </w:rPr>
        <w:t>（二）评审日期和地点，</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小组成员名单；</w:t>
      </w:r>
    </w:p>
    <w:p w14:paraId="4A6A232F">
      <w:pPr>
        <w:pStyle w:val="11"/>
        <w:ind w:firstLine="480"/>
        <w:jc w:val="both"/>
        <w:rPr>
          <w:highlight w:val="none"/>
        </w:rPr>
      </w:pPr>
      <w:r>
        <w:rPr>
          <w:rFonts w:ascii="仿宋_GB2312" w:hAnsi="仿宋_GB2312" w:eastAsia="仿宋_GB2312" w:cs="仿宋_GB2312"/>
          <w:highlight w:val="none"/>
        </w:rPr>
        <w:t>（三）评审情况记录和说明，包括对供应商的资格审查情况、供应商响应文件评审情况、报价情况等；</w:t>
      </w:r>
    </w:p>
    <w:p w14:paraId="012E5E32">
      <w:pPr>
        <w:pStyle w:val="11"/>
        <w:ind w:firstLine="480"/>
        <w:jc w:val="both"/>
        <w:rPr>
          <w:highlight w:val="none"/>
        </w:rPr>
      </w:pPr>
      <w:r>
        <w:rPr>
          <w:rFonts w:ascii="仿宋_GB2312" w:hAnsi="仿宋_GB2312" w:eastAsia="仿宋_GB2312" w:cs="仿宋_GB2312"/>
          <w:highlight w:val="none"/>
        </w:rPr>
        <w:t>（四）提出的成交候选人的名单及理由。</w:t>
      </w:r>
    </w:p>
    <w:p w14:paraId="7CAD0F54">
      <w:pPr>
        <w:pStyle w:val="11"/>
        <w:ind w:firstLine="480"/>
        <w:jc w:val="both"/>
        <w:rPr>
          <w:highlight w:val="none"/>
        </w:rPr>
      </w:pPr>
      <w:r>
        <w:rPr>
          <w:rFonts w:ascii="仿宋_GB2312" w:hAnsi="仿宋_GB2312" w:eastAsia="仿宋_GB2312" w:cs="仿宋_GB2312"/>
          <w:highlight w:val="none"/>
        </w:rPr>
        <w:t>3.3评审报告应当由</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小组全体人员签字认可。</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小组成员对评审报告有异议的，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小组按照少数服从多数的原则推荐成交候选人，采购程序继续进行。对评审报告有异议的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小组成员，应当在报告上签署不同意见并说明理由，由</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小组书面记录相关情况。</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小组成员拒绝在报告上签字又不书面说明其不同意见和理由的，视为同意评审报告。</w:t>
      </w:r>
    </w:p>
    <w:p w14:paraId="6403AC4E">
      <w:pPr>
        <w:pStyle w:val="11"/>
        <w:jc w:val="center"/>
        <w:outlineLvl w:val="2"/>
        <w:rPr>
          <w:highlight w:val="none"/>
        </w:rPr>
      </w:pPr>
      <w:r>
        <w:rPr>
          <w:rFonts w:ascii="仿宋_GB2312" w:hAnsi="仿宋_GB2312" w:eastAsia="仿宋_GB2312" w:cs="仿宋_GB2312"/>
          <w:b/>
          <w:sz w:val="28"/>
          <w:highlight w:val="none"/>
        </w:rPr>
        <w:t>四、其他规定</w:t>
      </w:r>
    </w:p>
    <w:p w14:paraId="1E021DEB">
      <w:pPr>
        <w:pStyle w:val="11"/>
        <w:jc w:val="both"/>
        <w:rPr>
          <w:highlight w:val="none"/>
        </w:rPr>
      </w:pPr>
      <w:r>
        <w:rPr>
          <w:rFonts w:ascii="仿宋_GB2312" w:hAnsi="仿宋_GB2312" w:eastAsia="仿宋_GB2312" w:cs="仿宋_GB2312"/>
          <w:highlight w:val="none"/>
        </w:rPr>
        <w:t>4、其他规定</w:t>
      </w:r>
    </w:p>
    <w:p w14:paraId="06F542B8">
      <w:pPr>
        <w:pStyle w:val="11"/>
        <w:ind w:firstLine="480"/>
        <w:jc w:val="both"/>
        <w:rPr>
          <w:highlight w:val="none"/>
        </w:rPr>
      </w:pPr>
      <w:r>
        <w:rPr>
          <w:rFonts w:ascii="仿宋_GB2312" w:hAnsi="仿宋_GB2312" w:eastAsia="仿宋_GB2312" w:cs="仿宋_GB2312"/>
          <w:highlight w:val="none"/>
        </w:rPr>
        <w:t>4.1评审应全程保密且不得透露给任一供应商或与评审工作无关的人员。</w:t>
      </w:r>
    </w:p>
    <w:p w14:paraId="1BCDA6E0">
      <w:pPr>
        <w:pStyle w:val="11"/>
        <w:ind w:firstLine="480"/>
        <w:jc w:val="both"/>
        <w:rPr>
          <w:highlight w:val="none"/>
        </w:rPr>
      </w:pPr>
      <w:r>
        <w:rPr>
          <w:rFonts w:ascii="仿宋_GB2312" w:hAnsi="仿宋_GB2312" w:eastAsia="仿宋_GB2312" w:cs="仿宋_GB2312"/>
          <w:highlight w:val="none"/>
        </w:rPr>
        <w:t>4.</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若供应商有任何试图干扰具体评审事务，影响</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小组独立履行职责的行为，其报价无效且不予退还</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保证金。情节严重的，列入不良行为记录。</w:t>
      </w:r>
    </w:p>
    <w:p w14:paraId="5AE1E678">
      <w:pPr>
        <w:pStyle w:val="11"/>
        <w:tabs>
          <w:tab w:val="left" w:pos="1988"/>
        </w:tabs>
        <w:ind w:firstLine="480"/>
        <w:jc w:val="both"/>
        <w:rPr>
          <w:rFonts w:hint="default"/>
          <w:highlight w:val="none"/>
          <w:lang w:val="en-US"/>
        </w:rPr>
      </w:pPr>
      <w:r>
        <w:rPr>
          <w:rFonts w:ascii="仿宋_GB2312" w:hAnsi="仿宋_GB2312" w:eastAsia="仿宋_GB2312" w:cs="仿宋_GB2312"/>
          <w:highlight w:val="none"/>
        </w:rPr>
        <w:t>4.</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其他：</w:t>
      </w:r>
      <w:r>
        <w:rPr>
          <w:rFonts w:ascii="仿宋_GB2312" w:hAnsi="仿宋_GB2312" w:eastAsia="仿宋_GB2312" w:cs="仿宋_GB2312"/>
          <w:highlight w:val="none"/>
          <w:u w:val="single"/>
        </w:rPr>
        <w:tab/>
      </w:r>
      <w:r>
        <w:rPr>
          <w:rFonts w:hint="eastAsia" w:ascii="仿宋_GB2312" w:hAnsi="仿宋_GB2312" w:eastAsia="仿宋_GB2312" w:cs="仿宋_GB2312"/>
          <w:highlight w:val="none"/>
          <w:u w:val="single"/>
          <w:lang w:eastAsia="zh-CN"/>
        </w:rPr>
        <w:t>无</w:t>
      </w:r>
      <w:r>
        <w:rPr>
          <w:rFonts w:hint="default" w:ascii="仿宋_GB2312" w:hAnsi="仿宋_GB2312" w:eastAsia="仿宋_GB2312" w:cs="仿宋_GB2312"/>
          <w:highlight w:val="none"/>
          <w:u w:val="single"/>
          <w:lang w:val="en-US"/>
        </w:rPr>
        <w:t xml:space="preserve">      </w:t>
      </w:r>
      <w:r>
        <w:rPr>
          <w:rFonts w:hint="default" w:ascii="仿宋_GB2312" w:hAnsi="仿宋_GB2312" w:eastAsia="仿宋_GB2312" w:cs="仿宋_GB2312"/>
          <w:highlight w:val="none"/>
          <w:lang w:val="en-US"/>
        </w:rPr>
        <w:t xml:space="preserve">     </w:t>
      </w:r>
    </w:p>
    <w:p w14:paraId="6A41A430">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BBDA5B9">
      <w:pPr>
        <w:pStyle w:val="11"/>
        <w:jc w:val="center"/>
        <w:outlineLvl w:val="1"/>
        <w:rPr>
          <w:highlight w:val="none"/>
        </w:rPr>
      </w:pPr>
      <w:bookmarkStart w:id="17" w:name="_Toc990955260_WPSOffice_Level1"/>
      <w:r>
        <w:rPr>
          <w:rFonts w:ascii="仿宋_GB2312" w:hAnsi="仿宋_GB2312" w:eastAsia="仿宋_GB2312" w:cs="仿宋_GB2312"/>
          <w:b/>
          <w:sz w:val="36"/>
          <w:highlight w:val="none"/>
        </w:rPr>
        <w:t xml:space="preserve">第四章 </w:t>
      </w:r>
      <w:r>
        <w:rPr>
          <w:rFonts w:hint="eastAsia" w:ascii="仿宋_GB2312" w:hAnsi="仿宋_GB2312" w:eastAsia="仿宋_GB2312" w:cs="仿宋_GB2312"/>
          <w:b/>
          <w:sz w:val="36"/>
          <w:highlight w:val="none"/>
          <w:lang w:eastAsia="zh-CN"/>
        </w:rPr>
        <w:t>询比</w:t>
      </w:r>
      <w:r>
        <w:rPr>
          <w:rFonts w:ascii="仿宋_GB2312" w:hAnsi="仿宋_GB2312" w:eastAsia="仿宋_GB2312" w:cs="仿宋_GB2312"/>
          <w:b/>
          <w:sz w:val="36"/>
          <w:highlight w:val="none"/>
        </w:rPr>
        <w:t>内容及要求</w:t>
      </w:r>
      <w:bookmarkEnd w:id="17"/>
    </w:p>
    <w:p w14:paraId="1056C76E">
      <w:pPr>
        <w:pStyle w:val="11"/>
        <w:jc w:val="both"/>
        <w:outlineLvl w:val="2"/>
        <w:rPr>
          <w:rFonts w:hint="eastAsia" w:ascii="仿宋_GB2312" w:hAnsi="仿宋_GB2312" w:eastAsia="仿宋_GB2312" w:cs="仿宋_GB2312"/>
          <w:b/>
          <w:sz w:val="28"/>
          <w:highlight w:val="none"/>
          <w:lang w:eastAsia="zh-CN"/>
        </w:rPr>
      </w:pPr>
      <w:r>
        <w:rPr>
          <w:rFonts w:ascii="仿宋_GB2312" w:hAnsi="仿宋_GB2312" w:eastAsia="仿宋_GB2312" w:cs="仿宋_GB2312"/>
          <w:b/>
          <w:sz w:val="28"/>
          <w:highlight w:val="none"/>
        </w:rPr>
        <w:t>一、采购标的</w:t>
      </w:r>
      <w:r>
        <w:rPr>
          <w:rFonts w:hint="eastAsia" w:ascii="仿宋_GB2312" w:hAnsi="仿宋_GB2312" w:eastAsia="仿宋_GB2312" w:cs="仿宋_GB2312"/>
          <w:b/>
          <w:sz w:val="28"/>
          <w:highlight w:val="none"/>
          <w:lang w:eastAsia="zh-CN"/>
        </w:rPr>
        <w:t>：</w:t>
      </w:r>
    </w:p>
    <w:p w14:paraId="67406E54">
      <w:pPr>
        <w:pStyle w:val="11"/>
        <w:jc w:val="both"/>
        <w:outlineLvl w:val="2"/>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1.1服务范围：对榕水大厦（地址：福州市鼓楼区东街104号）进行</w:t>
      </w:r>
      <w:r>
        <w:rPr>
          <w:rFonts w:hint="eastAsia" w:ascii="仿宋_GB2312" w:hAnsi="仿宋_GB2312" w:eastAsia="仿宋_GB2312" w:cs="仿宋_GB2312"/>
          <w:b/>
          <w:bCs/>
          <w:sz w:val="22"/>
          <w:szCs w:val="22"/>
          <w:highlight w:val="none"/>
          <w:lang w:val="en-US" w:eastAsia="zh-CN"/>
        </w:rPr>
        <w:t>老旧线路安全隐患年度排查检测，检测范围包括大楼地上1~21楼空间（含</w:t>
      </w:r>
      <w:r>
        <w:rPr>
          <w:rFonts w:hint="eastAsia" w:ascii="仿宋_GB2312" w:hAnsi="仿宋_GB2312" w:eastAsia="仿宋_GB2312" w:cs="仿宋_GB2312"/>
          <w:kern w:val="0"/>
          <w:sz w:val="24"/>
          <w:szCs w:val="24"/>
          <w:highlight w:val="none"/>
          <w:lang w:val="en-US" w:eastAsia="zh-CN"/>
        </w:rPr>
        <w:t>天花板吊顶、楼梯间等隐蔽空间）、地下停车场（含地面、地下1~2层）及保安亭）。</w:t>
      </w:r>
    </w:p>
    <w:p w14:paraId="3DDE5FB4">
      <w:pPr>
        <w:pStyle w:val="11"/>
        <w:jc w:val="both"/>
        <w:outlineLvl w:val="2"/>
        <w:rPr>
          <w:sz w:val="24"/>
          <w:szCs w:val="24"/>
          <w:highlight w:val="none"/>
        </w:rPr>
      </w:pPr>
      <w:r>
        <w:rPr>
          <w:rFonts w:hint="eastAsia" w:ascii="仿宋_GB2312" w:hAnsi="仿宋_GB2312" w:eastAsia="仿宋_GB2312" w:cs="仿宋_GB2312"/>
          <w:kern w:val="0"/>
          <w:sz w:val="24"/>
          <w:szCs w:val="24"/>
          <w:highlight w:val="none"/>
          <w:lang w:val="en-US" w:eastAsia="zh-CN"/>
        </w:rPr>
        <w:t>1.2服务内容：对检测范围内所有老旧线路安全隐患进行排查检测，包括但</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不限于供配电装置、低压用电设备、室内低压配电线路、接地和等电位的排查检测等，具体检测项目和检测要求详见第二点技术和服务要求。</w:t>
      </w:r>
    </w:p>
    <w:p w14:paraId="26BE2555">
      <w:pPr>
        <w:pStyle w:val="11"/>
        <w:jc w:val="both"/>
        <w:rPr>
          <w:highlight w:val="none"/>
        </w:rPr>
      </w:pPr>
    </w:p>
    <w:p w14:paraId="098B2BE4">
      <w:pPr>
        <w:pStyle w:val="11"/>
        <w:jc w:val="both"/>
        <w:outlineLvl w:val="2"/>
        <w:rPr>
          <w:rFonts w:ascii="仿宋_GB2312" w:hAnsi="仿宋_GB2312" w:eastAsia="仿宋_GB2312" w:cs="仿宋_GB2312"/>
          <w:b/>
          <w:sz w:val="28"/>
          <w:highlight w:val="none"/>
        </w:rPr>
      </w:pPr>
      <w:r>
        <w:rPr>
          <w:rFonts w:ascii="仿宋_GB2312" w:hAnsi="仿宋_GB2312" w:eastAsia="仿宋_GB2312" w:cs="仿宋_GB2312"/>
          <w:b/>
          <w:sz w:val="28"/>
          <w:highlight w:val="none"/>
        </w:rPr>
        <w:t>二、技术</w:t>
      </w:r>
      <w:r>
        <w:rPr>
          <w:rFonts w:hint="eastAsia" w:ascii="仿宋_GB2312" w:hAnsi="仿宋_GB2312" w:eastAsia="仿宋_GB2312" w:cs="仿宋_GB2312"/>
          <w:b/>
          <w:sz w:val="28"/>
          <w:highlight w:val="none"/>
          <w:lang w:eastAsia="zh-CN"/>
        </w:rPr>
        <w:t>和服务</w:t>
      </w:r>
      <w:r>
        <w:rPr>
          <w:rFonts w:ascii="仿宋_GB2312" w:hAnsi="仿宋_GB2312" w:eastAsia="仿宋_GB2312" w:cs="仿宋_GB2312"/>
          <w:b/>
          <w:sz w:val="28"/>
          <w:highlight w:val="none"/>
        </w:rPr>
        <w:t>要求</w:t>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1"/>
        <w:gridCol w:w="1998"/>
        <w:gridCol w:w="5527"/>
      </w:tblGrid>
      <w:tr w14:paraId="56E5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336" w:type="dxa"/>
            <w:gridSpan w:val="3"/>
            <w:vAlign w:val="center"/>
          </w:tcPr>
          <w:p w14:paraId="482955FF">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b/>
                <w:bCs/>
                <w:sz w:val="22"/>
                <w:szCs w:val="22"/>
                <w:highlight w:val="none"/>
                <w:lang w:val="en-US" w:eastAsia="zh-CN"/>
              </w:rPr>
              <w:t>老旧线路安全隐患年度排查检测明细</w:t>
            </w:r>
          </w:p>
        </w:tc>
      </w:tr>
      <w:tr w14:paraId="5EB1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6" w:type="dxa"/>
            <w:gridSpan w:val="3"/>
            <w:tcBorders>
              <w:top w:val="single" w:color="000000" w:sz="4" w:space="0"/>
              <w:left w:val="single" w:color="000000" w:sz="4" w:space="0"/>
              <w:bottom w:val="single" w:color="000000" w:sz="4" w:space="0"/>
            </w:tcBorders>
            <w:vAlign w:val="center"/>
          </w:tcPr>
          <w:p w14:paraId="56713FA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一、供配电装置</w:t>
            </w:r>
          </w:p>
        </w:tc>
      </w:tr>
      <w:tr w14:paraId="6370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tcBorders>
              <w:top w:val="single" w:color="000000" w:sz="4" w:space="0"/>
              <w:left w:val="single" w:color="000000" w:sz="4" w:space="0"/>
              <w:bottom w:val="single" w:color="000000" w:sz="4" w:space="0"/>
              <w:right w:val="single" w:color="000000" w:sz="4" w:space="0"/>
            </w:tcBorders>
            <w:vAlign w:val="center"/>
          </w:tcPr>
          <w:p w14:paraId="641A22C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1998" w:type="dxa"/>
            <w:tcBorders>
              <w:top w:val="single" w:color="000000" w:sz="4" w:space="0"/>
              <w:left w:val="single" w:color="000000" w:sz="4" w:space="0"/>
              <w:bottom w:val="single" w:color="000000" w:sz="4" w:space="0"/>
              <w:right w:val="single" w:color="000000" w:sz="4" w:space="0"/>
            </w:tcBorders>
            <w:vAlign w:val="center"/>
          </w:tcPr>
          <w:p w14:paraId="2517D0D1">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检测项目</w:t>
            </w:r>
          </w:p>
        </w:tc>
        <w:tc>
          <w:tcPr>
            <w:tcW w:w="5527" w:type="dxa"/>
            <w:tcBorders>
              <w:top w:val="single" w:color="000000" w:sz="4" w:space="0"/>
              <w:left w:val="single" w:color="000000" w:sz="4" w:space="0"/>
              <w:bottom w:val="single" w:color="000000" w:sz="4" w:space="0"/>
              <w:right w:val="single" w:color="000000" w:sz="4" w:space="0"/>
            </w:tcBorders>
            <w:vAlign w:val="center"/>
          </w:tcPr>
          <w:p w14:paraId="2E8FF2B8">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检测要求</w:t>
            </w:r>
          </w:p>
        </w:tc>
      </w:tr>
      <w:tr w14:paraId="50AB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1490A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7BC95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变配电室建筑要求和设备安装要求</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BB3F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1.变压器室、配电室、电容器室的进户门应向外开启；相邻配电室之间有门时，此门应向较低压方向开启或双向开启。</w:t>
            </w:r>
          </w:p>
        </w:tc>
      </w:tr>
      <w:tr w14:paraId="24DC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66D4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81EAA4">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0191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2.长度大于7m的配电室应设两个出口，并宜布置在配电室两端；长度大于60m时，宜增加一个出口。</w:t>
            </w:r>
          </w:p>
        </w:tc>
      </w:tr>
      <w:tr w14:paraId="3500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DBD0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5CD71B">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05FA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3.当变电所采用双层布置时，位于楼上的配电室应至少设一 个通向室外的平台或通道出口。</w:t>
            </w:r>
          </w:p>
        </w:tc>
      </w:tr>
      <w:tr w14:paraId="78E7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03D15">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F5BA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00BA">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4.高压配电室宜设不能开启的自然采光窗，窗台距室外地坪不宜低于1.8m。</w:t>
            </w:r>
          </w:p>
        </w:tc>
      </w:tr>
      <w:tr w14:paraId="1541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1CB93">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A117B">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F0AC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5.配电室临街的一面不宜开窗。</w:t>
            </w:r>
          </w:p>
        </w:tc>
      </w:tr>
      <w:tr w14:paraId="7BEE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015857">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C8259D">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DEA5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6.变压器室、配电室、电容器室等应设置防止雨、雪和小动物从采光窗、通风窗、门、电缆沟等进入室内的设施。</w:t>
            </w:r>
          </w:p>
        </w:tc>
      </w:tr>
      <w:tr w14:paraId="2372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88D94">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FCB0F">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7870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7.变压器室、电容器室、配电室、控制室内，不应有与其无关的管道和线路通过。</w:t>
            </w:r>
          </w:p>
        </w:tc>
      </w:tr>
      <w:tr w14:paraId="4082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16409">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142AB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3BA4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8.电缆穿过隔墙、楼板的孔洞处均应实施阻火封堵。</w:t>
            </w:r>
          </w:p>
        </w:tc>
      </w:tr>
      <w:tr w14:paraId="0197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F510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EEC2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C9D5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9.灯具安装应牢固，应急灯照度应满足室内工作需要。</w:t>
            </w:r>
          </w:p>
        </w:tc>
      </w:tr>
      <w:tr w14:paraId="048D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D7FE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4A76F">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5E81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10.消防用电设备专用的供电回路，其配电设备应有明显标志</w:t>
            </w:r>
          </w:p>
        </w:tc>
      </w:tr>
      <w:tr w14:paraId="582E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CFB5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8E9DA">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BDD0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11.地上变压器宜采用自然通风，地下变压器应设机械送风系统。</w:t>
            </w:r>
          </w:p>
        </w:tc>
      </w:tr>
      <w:tr w14:paraId="2230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C08A1">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8C569">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18CF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12.成排布置的配电屏，其长度超过6m时，屏后面的通道应有两个通向本室或其他房间的出口并宜布置在通道的两端。当两出口之间的距离超过15m时，期间还宜增加出口。</w:t>
            </w:r>
          </w:p>
        </w:tc>
      </w:tr>
      <w:tr w14:paraId="0C75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DB11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CC2C2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配电箱 （盘、屏、柜）</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FB88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1.成套配电柜、台、箱、盘，各种仪表指示正常。</w:t>
            </w:r>
          </w:p>
        </w:tc>
      </w:tr>
      <w:tr w14:paraId="2025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90456D">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C827D0">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67EC3">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2.电器的衔铁吸合后应无异常响声</w:t>
            </w:r>
          </w:p>
        </w:tc>
      </w:tr>
      <w:tr w14:paraId="7F1E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B26A1">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24470">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EC18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3.接线应排列整齐、清晰、美观，导线绝缘应良好、无损伤。</w:t>
            </w:r>
          </w:p>
        </w:tc>
      </w:tr>
      <w:tr w14:paraId="31BE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AFD00">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7B1CC">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D286A">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4.柜、台、箱、盘的金属框架及基础型钢必须接地（PE）或接零（PEN)可靠。</w:t>
            </w:r>
          </w:p>
        </w:tc>
      </w:tr>
      <w:tr w14:paraId="74A1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AEA5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BA68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B95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5.母线的涂改：</w:t>
            </w:r>
          </w:p>
        </w:tc>
      </w:tr>
      <w:tr w14:paraId="4BBE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FFC104">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BF4D0">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529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交流.A相为黄色、B相为绿色、C相为红色；</w:t>
            </w:r>
          </w:p>
        </w:tc>
      </w:tr>
      <w:tr w14:paraId="50D4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94E99E">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7DAE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2AE9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直流.正极为赭色、负极为蓝色；</w:t>
            </w:r>
          </w:p>
        </w:tc>
      </w:tr>
      <w:tr w14:paraId="0940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782F1">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323F9A">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2F14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6.柜、屏、台、箱、盘间线路的线间和线对地间绝缘电阻值，馈电线路必须大于0.5MΩ</w:t>
            </w:r>
          </w:p>
        </w:tc>
      </w:tr>
      <w:tr w14:paraId="4A6E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9E2A9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4EE1B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照明配电箱</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724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1.照明配电箱（盘）安装牢靠，暗装配电箱箱盖紧贴墙面。</w:t>
            </w:r>
          </w:p>
        </w:tc>
      </w:tr>
      <w:tr w14:paraId="70E7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D9FB3">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BD68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91A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2.照明配电箱（盘）内接线整齐，回路编号齐全。</w:t>
            </w:r>
          </w:p>
        </w:tc>
      </w:tr>
      <w:tr w14:paraId="7447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EF560">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C520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CD2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3.照明配电箱（盘）不应采用可燃材料制作。</w:t>
            </w:r>
          </w:p>
        </w:tc>
      </w:tr>
      <w:tr w14:paraId="003D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44D7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1BB8F">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321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4.照明配电箱底边距地面为1.5m。</w:t>
            </w:r>
          </w:p>
        </w:tc>
      </w:tr>
      <w:tr w14:paraId="7ED0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789D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A8CE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C963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5.照明配电箱（盘）内开关动作灵活可靠。</w:t>
            </w:r>
          </w:p>
        </w:tc>
      </w:tr>
      <w:tr w14:paraId="27FA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4FFE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3893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EA4C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6.照明箱（盘）内，分别设置零线（N）和保护地线（PE线）汇流排，零线和保护地线经汇流排配出。</w:t>
            </w:r>
          </w:p>
        </w:tc>
      </w:tr>
      <w:tr w14:paraId="7E20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B3A0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1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0FD4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低压供配电装置运行状态的要求</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F86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大容量（630A及以上）导线或母线连接处，在负荷运行情况下应做温度抽测记录，温升值稳定且不大于设计值。</w:t>
            </w:r>
          </w:p>
        </w:tc>
      </w:tr>
      <w:tr w14:paraId="0E8D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2E90B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91C72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变配电装置触头、接线端子的要求</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2ED6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1.每个接线端子的每侧接线宜为1根，不得超过2根。对于插接式端子，不同截面的两根导线不得接在同一端子中：螺栓连接端子接两根导线时，中间应加平垫片。</w:t>
            </w:r>
          </w:p>
        </w:tc>
      </w:tr>
      <w:tr w14:paraId="16BA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9060E">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9133E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E0A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2.接线端子应与导线截面匹配，不应使用小端子配大截面导线。</w:t>
            </w:r>
          </w:p>
        </w:tc>
      </w:tr>
      <w:tr w14:paraId="3A68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94F2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E9E5A">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D1B9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3.进线接在进线端，即固定触头接线端，负荷侧导线接在出线侧，即可动触头接线端。</w:t>
            </w:r>
          </w:p>
        </w:tc>
      </w:tr>
      <w:tr w14:paraId="3C43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22F78">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FBE5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2F24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4.电器接线应采用铜质或有电镀金属防锈层的螺栓和螺钉，连接时应拧紧，且应有防松装置。</w:t>
            </w:r>
          </w:p>
        </w:tc>
      </w:tr>
      <w:tr w14:paraId="1765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ADE31">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560B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96CB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5.截面积在10mm²及以下的单股铜芯线和单股铝芯线直接与设备、器具的端子连接；</w:t>
            </w:r>
          </w:p>
        </w:tc>
      </w:tr>
      <w:tr w14:paraId="745C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BBA5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11C19">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7245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6.截面积在2.5mm²及以下的多股铜芯线拧紧搪锡或接续端子后与设备。器具的端子连接；</w:t>
            </w:r>
          </w:p>
        </w:tc>
      </w:tr>
      <w:tr w14:paraId="5270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0CD07">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9322E">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3725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7.截面积大于2.5mm²及以下的多股铜芯线，除设备自带插接式端子外，接续端子后与设备或器具的端子连接；多股铜芯线与插接式端子连接前，端部拧紧搪锡。</w:t>
            </w:r>
          </w:p>
        </w:tc>
      </w:tr>
      <w:tr w14:paraId="66F0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39BA4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61C37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自备发电机</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0638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1.发电机组至低压配电柜馈电线路的相间、相对地间的绝缘电阻值应大于0.5MΩ。</w:t>
            </w:r>
          </w:p>
        </w:tc>
      </w:tr>
      <w:tr w14:paraId="5328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2510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8A32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8F6B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2.发电机中性线（工作零线）应与接地干线直接连接，螺栓防松零件齐全，且有标识。</w:t>
            </w:r>
          </w:p>
        </w:tc>
      </w:tr>
      <w:tr w14:paraId="1F0E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F000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1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123B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不间断电源</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5AC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不间断电源装置的可接近裸露导体应接地（PE）或接零（PEN）可靠，且有标识。</w:t>
            </w:r>
          </w:p>
        </w:tc>
      </w:tr>
      <w:tr w14:paraId="6E34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6" w:type="dxa"/>
            <w:gridSpan w:val="3"/>
            <w:tcBorders>
              <w:top w:val="single" w:color="000000" w:sz="4" w:space="0"/>
              <w:left w:val="single" w:color="000000" w:sz="4" w:space="0"/>
              <w:bottom w:val="single" w:color="000000" w:sz="4" w:space="0"/>
            </w:tcBorders>
            <w:shd w:val="clear" w:color="auto" w:fill="FFFFFF"/>
            <w:vAlign w:val="center"/>
          </w:tcPr>
          <w:p w14:paraId="485905D8">
            <w:pPr>
              <w:pStyle w:val="11"/>
              <w:rPr>
                <w:rFonts w:hint="eastAsia" w:ascii="仿宋_GB2312" w:hAnsi="仿宋_GB2312" w:eastAsia="仿宋_GB2312" w:cs="仿宋_GB2312"/>
                <w:highlight w:val="none"/>
              </w:rPr>
            </w:pPr>
          </w:p>
        </w:tc>
      </w:tr>
      <w:tr w14:paraId="3CE8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A1FEFF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二、低压用电设备</w:t>
            </w:r>
          </w:p>
        </w:tc>
      </w:tr>
      <w:tr w14:paraId="3A9B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B4C2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066B">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检测项目</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9A14D">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检测要求</w:t>
            </w:r>
          </w:p>
        </w:tc>
      </w:tr>
      <w:tr w14:paraId="6885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6FD49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0F57F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普通灯具</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2B69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1、单相回路灯具≤25只：I≤16A</w:t>
            </w:r>
          </w:p>
        </w:tc>
      </w:tr>
      <w:tr w14:paraId="7678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1CB5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3240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75E0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2、照明器靠近可燃物时，应采取隔热、散热等保护措施</w:t>
            </w:r>
          </w:p>
        </w:tc>
      </w:tr>
      <w:tr w14:paraId="71C5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F4FAB7">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4EF3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0AE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3、装有卤钨灯和100W及以上白炽灯泡的吸顶灯、槽灯、嵌入式灯应采用瓷管、石棉、玻璃丝灯非燃烧材料做隔热保护。</w:t>
            </w:r>
          </w:p>
        </w:tc>
      </w:tr>
      <w:tr w14:paraId="4284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C711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9D31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FD1F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4、应急照明灯和灯光疏散指示标志应设玻璃等不燃材料的保护罩。</w:t>
            </w:r>
          </w:p>
        </w:tc>
      </w:tr>
      <w:tr w14:paraId="7B78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1B405">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CC8E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1629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5、碘钨灯、卤钨灯、60W以上的白炽灯等高温照明灯具不应在库房内装设；可燃物品库房不应设卤钨灯等高温照明器</w:t>
            </w:r>
          </w:p>
        </w:tc>
      </w:tr>
      <w:tr w14:paraId="7674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6755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D48D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D485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6、灯具外涂层完整，无损伤，附件安全。</w:t>
            </w:r>
          </w:p>
        </w:tc>
      </w:tr>
      <w:tr w14:paraId="501F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986568">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23379">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365A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7、防爆灯具铭牌上有防爆标志和防爆合格证号，普通灯具有安全认证标志。</w:t>
            </w:r>
          </w:p>
        </w:tc>
      </w:tr>
      <w:tr w14:paraId="5402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2C237">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AA3C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C694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8、当灯具距地面高度小于2.4m时，灯具的可接近裸露导体必须接地（PE)或接零（PEN）可靠，并应有专用接地螺栓，且有标识。</w:t>
            </w:r>
          </w:p>
        </w:tc>
      </w:tr>
      <w:tr w14:paraId="4A7A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6A2F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F40DD">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7AD8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9、变电所内、高低压配电设备及裸母线的正上方不应安装灯具。</w:t>
            </w:r>
          </w:p>
        </w:tc>
      </w:tr>
      <w:tr w14:paraId="5A28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D971D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6FD35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专用灯具安装</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ED67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1、霓虹灯管完好，无破裂。</w:t>
            </w:r>
          </w:p>
        </w:tc>
      </w:tr>
      <w:tr w14:paraId="7AA3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91CA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09CC0">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3CC0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2、霓虹灯专用变压二次电线和灯管间的连接线采用额定电压大于15KV的高压绝缘电线</w:t>
            </w:r>
          </w:p>
        </w:tc>
      </w:tr>
      <w:tr w14:paraId="0952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97EC4">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F970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471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3、灯管采用专用的绝缘支架固定，且牢固可靠；灯管固定后，与建筑物、构筑物表现的距离不小于20mm.</w:t>
            </w:r>
          </w:p>
        </w:tc>
      </w:tr>
      <w:tr w14:paraId="23FB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4F4C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4044F">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3FEE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4、霓虹灯变压器露天安装时应有防雨措施。</w:t>
            </w:r>
          </w:p>
        </w:tc>
      </w:tr>
      <w:tr w14:paraId="1DAE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8654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29EDF">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5E2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5、霓虹灯变压器安装位置应方便检修，不装在吊平顶内。</w:t>
            </w:r>
          </w:p>
        </w:tc>
      </w:tr>
      <w:tr w14:paraId="1FBE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6BE99">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A163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1028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6、霓虹灯变压器明装时高≥3m；低于3m时采取防护措施。</w:t>
            </w:r>
          </w:p>
        </w:tc>
      </w:tr>
      <w:tr w14:paraId="4E0F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947CB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E954F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开关插座</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FF1D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1、当交流、直流或不同电压等级的插座安装在同一场所时，应有明显的区别，且必须选择不同结构、不同规格和不能互换的插座；配套的插座应按交流、直流或不同电压等级区别使用。</w:t>
            </w:r>
          </w:p>
        </w:tc>
      </w:tr>
      <w:tr w14:paraId="3D8C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97F2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A9DEE">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57313">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2、开关及插座应采用专用盒，专用盒四周不应有空隙，盖板应端正，并紧贴墙面。</w:t>
            </w:r>
          </w:p>
        </w:tc>
      </w:tr>
      <w:tr w14:paraId="3EF4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574AD">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8B989">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4C1A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3、暗装的开关面板应紧贴墙面，四周无缝隙，安装牢固，表面光滑整洁、无碎裂、划伤，装饰帽齐全。</w:t>
            </w:r>
          </w:p>
        </w:tc>
      </w:tr>
      <w:tr w14:paraId="3054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BB58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D0D4F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0B27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4、相线经开关控制。</w:t>
            </w:r>
          </w:p>
        </w:tc>
      </w:tr>
      <w:tr w14:paraId="6506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C1F3E">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48ABA">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282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5、地插座面板与地面齐平或紧贴地面，盖板牢固，密封良好。</w:t>
            </w:r>
          </w:p>
        </w:tc>
      </w:tr>
      <w:tr w14:paraId="05A7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6D3F8">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49C7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408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6、当不采用安全型插座时，托儿所、幼儿园及小学等儿童好活动场所安装高度不小于1.8m.</w:t>
            </w:r>
          </w:p>
        </w:tc>
      </w:tr>
      <w:tr w14:paraId="2324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B472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178D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9475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7、潮湿场所应采用密封封型并带保护接地触头的保护型插座，安装高度不低于1.5m</w:t>
            </w:r>
          </w:p>
        </w:tc>
      </w:tr>
      <w:tr w14:paraId="7498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17DF5">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2739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0E06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8、单项两孔插座，面对插座的右孔或上孔与相线连接，左孔或下孔与零线连接。</w:t>
            </w:r>
          </w:p>
        </w:tc>
      </w:tr>
      <w:tr w14:paraId="50ED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3F137">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3E614">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3CA8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9、单相三孔插座，面对插座的右孔与相线连接，左孔与零线连接</w:t>
            </w:r>
          </w:p>
        </w:tc>
      </w:tr>
      <w:tr w14:paraId="1752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16581">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4F0C2">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027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10、单相三孔、三相四孔及三相五孔插座接地（PE)或接零（PEN）线接在上孔。</w:t>
            </w:r>
          </w:p>
        </w:tc>
      </w:tr>
      <w:tr w14:paraId="731E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F6E4D">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4B15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AEC3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11、同一场所的三相插座，接线的相序一致。接地（PE)或接零（PEN）线在插座间不串联连接。</w:t>
            </w:r>
          </w:p>
        </w:tc>
      </w:tr>
      <w:tr w14:paraId="39C3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677D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1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B4A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日光灯</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9B3B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不应直接安装在可燃装修材料或可燃构件上。</w:t>
            </w:r>
          </w:p>
        </w:tc>
      </w:tr>
      <w:tr w14:paraId="61BC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4A66DA">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17AD4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低压电动机、电加热及电动执行机构</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E3EF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1、电动机、电加热器及电动执行机构，绝缘电阻值应大于0.5MΩ</w:t>
            </w:r>
          </w:p>
        </w:tc>
      </w:tr>
      <w:tr w14:paraId="5B1E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8BDB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29A00">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2D0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2、电气设备安装应牢固，螺栓及防松零件齐全，不松动，防水防潮电气设备的接线入口及接线盒盖应做密封处理。</w:t>
            </w:r>
          </w:p>
        </w:tc>
      </w:tr>
      <w:tr w14:paraId="35FB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63E5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66EA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D3B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3、电动机应装设短路保护和过载保护。</w:t>
            </w:r>
          </w:p>
        </w:tc>
      </w:tr>
      <w:tr w14:paraId="01DF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0158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539D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6A7A">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4、电动机，电加热及电动机执行机构的可接的裸露导致必须接地(PE)或接零（PEN).</w:t>
            </w:r>
          </w:p>
        </w:tc>
      </w:tr>
      <w:tr w14:paraId="3899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793B3">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E6A0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A6F4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5、电动机应试通电，检查转向和机械转动有无异常情况。</w:t>
            </w:r>
          </w:p>
        </w:tc>
      </w:tr>
      <w:tr w14:paraId="78B9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06CD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97D13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903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6、电动执行机构的动作方向及指示，应与工艺装置的设计要求保持一致。</w:t>
            </w:r>
          </w:p>
        </w:tc>
      </w:tr>
      <w:tr w14:paraId="6F7A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6" w:type="dxa"/>
            <w:gridSpan w:val="3"/>
            <w:tcBorders>
              <w:top w:val="single" w:color="000000" w:sz="4" w:space="0"/>
              <w:left w:val="single" w:color="000000" w:sz="4" w:space="0"/>
              <w:bottom w:val="single" w:color="000000" w:sz="4" w:space="0"/>
            </w:tcBorders>
            <w:shd w:val="clear" w:color="auto" w:fill="FFFFFF"/>
            <w:vAlign w:val="center"/>
          </w:tcPr>
          <w:p w14:paraId="392108CD">
            <w:pPr>
              <w:pStyle w:val="11"/>
              <w:rPr>
                <w:rFonts w:hint="eastAsia" w:ascii="仿宋_GB2312" w:hAnsi="仿宋_GB2312" w:eastAsia="仿宋_GB2312" w:cs="仿宋_GB2312"/>
                <w:highlight w:val="none"/>
              </w:rPr>
            </w:pPr>
          </w:p>
        </w:tc>
      </w:tr>
      <w:tr w14:paraId="05C1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CFE8B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三、室内低压配电线路</w:t>
            </w:r>
          </w:p>
        </w:tc>
      </w:tr>
      <w:tr w14:paraId="629D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8C6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3FE61">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检测项目</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AAA32">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检测要求</w:t>
            </w:r>
          </w:p>
        </w:tc>
      </w:tr>
      <w:tr w14:paraId="4204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08FFD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B3CB5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缆线选择</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224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1、电缆选择一般采用铜芯</w:t>
            </w:r>
          </w:p>
        </w:tc>
      </w:tr>
      <w:tr w14:paraId="41BE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56AB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F3A3D">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5AA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2、移动设备用橡皮电缆</w:t>
            </w:r>
          </w:p>
        </w:tc>
      </w:tr>
      <w:tr w14:paraId="58E4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10BE1">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2891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DF03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3、60℃以上场所，用耐热电缆。</w:t>
            </w:r>
          </w:p>
        </w:tc>
      </w:tr>
      <w:tr w14:paraId="2C88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80F69">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049EB">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CD77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4、100℃以上环境，宜用矿物电缆。</w:t>
            </w:r>
          </w:p>
        </w:tc>
      </w:tr>
      <w:tr w14:paraId="3759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0E89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71259">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5D42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5、由可控硅调光装置配出的舞台照明线路宜采用单相配电</w:t>
            </w:r>
          </w:p>
        </w:tc>
      </w:tr>
      <w:tr w14:paraId="6C25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99477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1D5E2">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024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6、由晶闸管调光装置配出的舞台照明线路宜采用单相配电。当采用三相配电时，宜每相分别配置中性导体，当共用中性导体时，中性导体截面不应小于相导体截面的2倍</w:t>
            </w:r>
          </w:p>
        </w:tc>
      </w:tr>
      <w:tr w14:paraId="574C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16186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B7F33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电缆敷设</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A953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1、排列整齐、加固定、不交叉、并装设标志牌。</w:t>
            </w:r>
          </w:p>
        </w:tc>
      </w:tr>
      <w:tr w14:paraId="11DE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C5D4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923C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D078A">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2、电缆在室内埋设或通过墙、楼板时应穿钢管保护。</w:t>
            </w:r>
          </w:p>
        </w:tc>
      </w:tr>
      <w:tr w14:paraId="294A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0B9F0">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6AE7D">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C176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3、三相或单相的交流单芯电缆，不得单独穿于钢导管内</w:t>
            </w:r>
          </w:p>
        </w:tc>
      </w:tr>
      <w:tr w14:paraId="6062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93C2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7F7E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6B0A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4、电力电缆不应和输送甲、乙、丙类液体管道、可燃气体管道、热力管道敷设在同一管沟内</w:t>
            </w:r>
          </w:p>
        </w:tc>
      </w:tr>
      <w:tr w14:paraId="55C5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A97D5">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B6F22">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4E9E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5、电缆进入电缆沟、竖井、建筑物、盘（柜）以及管子管口处等做密封处理</w:t>
            </w:r>
          </w:p>
        </w:tc>
      </w:tr>
      <w:tr w14:paraId="05A7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B8328">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0E1B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A96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6、三相四线制系统中应采用四芯电力电缆，不应采用三芯电缆另加一根单芯电缆作中性线。</w:t>
            </w:r>
          </w:p>
        </w:tc>
      </w:tr>
      <w:tr w14:paraId="3D05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5BCC6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69995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电缆敷设</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E06D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1、不同回路、不同电压和交流与直流的电线，不应穿于同一导管内；</w:t>
            </w:r>
          </w:p>
        </w:tc>
      </w:tr>
      <w:tr w14:paraId="5E3E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7C7BE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A5459">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CB2B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2、同一交流回路电线应穿于同一金属导管内。</w:t>
            </w:r>
          </w:p>
        </w:tc>
      </w:tr>
      <w:tr w14:paraId="66C4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DEF33">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EF76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FD5F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3、电线在线槽或导管内有一定余量。</w:t>
            </w:r>
          </w:p>
        </w:tc>
      </w:tr>
      <w:tr w14:paraId="4BE2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F20F8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AA5A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A5C3">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4、建筑物顶棚内、保温层及装饰面板内，严禁采用直敷布线。</w:t>
            </w:r>
          </w:p>
        </w:tc>
      </w:tr>
      <w:tr w14:paraId="5380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781E0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BEA46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线路要求</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A90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1、线路易受机械损伤部位应保护。</w:t>
            </w:r>
          </w:p>
        </w:tc>
      </w:tr>
      <w:tr w14:paraId="2368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9D11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7F44E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B953">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2、导线接头应设在接线盒（箱）内。</w:t>
            </w:r>
          </w:p>
        </w:tc>
      </w:tr>
      <w:tr w14:paraId="4C55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43380">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8E89A">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52C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3、配电线路不得穿越通风管道内腔或敷设在通风管道外壁上，穿金属管保护的配电线路可紧贴通风管道外壁敷设。</w:t>
            </w:r>
          </w:p>
        </w:tc>
      </w:tr>
      <w:tr w14:paraId="08DA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AC035">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6235B">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436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4、竖井内布线时，不应和电梯井、管道间共用同一竖井</w:t>
            </w:r>
          </w:p>
        </w:tc>
      </w:tr>
      <w:tr w14:paraId="0F7A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3913D">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0C3AA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7CDC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5、刚性导管经柔性导管与电气设备、器具连接，柔性导管的长度在动力工程中不大于0.8m，在照明工程中不大于1.2m</w:t>
            </w:r>
          </w:p>
        </w:tc>
      </w:tr>
      <w:tr w14:paraId="5284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49FC0">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C43CF">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F48B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6、低压电线和电缆，线间和线对地间的绝缘电阻必须大于0.5mΩ</w:t>
            </w:r>
          </w:p>
        </w:tc>
      </w:tr>
      <w:tr w14:paraId="1787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DE420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701C6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封闭母线、插接式母线安装</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B640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1、室内采用铜铝过镀板，铜导体搭接面搪锡。</w:t>
            </w:r>
          </w:p>
        </w:tc>
      </w:tr>
      <w:tr w14:paraId="3A66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8941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3B695E">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A3A9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2、三相交流母线：A（L1）-黄、B（L2）-绿、C（L3）-红</w:t>
            </w:r>
          </w:p>
        </w:tc>
      </w:tr>
      <w:tr w14:paraId="5AA3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D3A0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9939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4CCA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3、直流母线：正-赭、负-篮。</w:t>
            </w:r>
          </w:p>
        </w:tc>
      </w:tr>
      <w:tr w14:paraId="200C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19EDF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5464E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桥架安装</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18AF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1、当设计无要求时，电缆桥架水平安装的支架间距为1.5-3m：垂直安装的支架间距不大于2m.</w:t>
            </w:r>
          </w:p>
        </w:tc>
      </w:tr>
      <w:tr w14:paraId="541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7A4D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6AA59">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145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2、敷设在竖井内和穿越不同防火区的桥架，按设计要求位置，有防火隔堵措施。</w:t>
            </w:r>
          </w:p>
        </w:tc>
      </w:tr>
      <w:tr w14:paraId="3BF4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22BB3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23A00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电缆沟和电缆竖井</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740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1、应采取防水、排水措施。</w:t>
            </w:r>
          </w:p>
        </w:tc>
      </w:tr>
      <w:tr w14:paraId="384C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3DF35">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53F1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DEAB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2、竖井有接地干线和接地端子。</w:t>
            </w:r>
          </w:p>
        </w:tc>
      </w:tr>
      <w:tr w14:paraId="1E81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C22A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1F9B4">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5DC9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3、竖井不应有与其无关管道等通过。</w:t>
            </w:r>
          </w:p>
        </w:tc>
      </w:tr>
      <w:tr w14:paraId="7527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DF7A1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902C3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保护措施</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643B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1、电气线路应装设短路、过负荷保护。</w:t>
            </w:r>
          </w:p>
        </w:tc>
      </w:tr>
      <w:tr w14:paraId="41D7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CFFA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FBB5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4B99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2、采用的上下级保护电器，动作应有选择性，能协调配合。</w:t>
            </w:r>
          </w:p>
        </w:tc>
      </w:tr>
      <w:tr w14:paraId="6C0B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3F63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1C4ED">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3AA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3、配电线路敷设在有可燃物的闷顶内，应采取穿金属管等防火保护措施。</w:t>
            </w:r>
          </w:p>
        </w:tc>
      </w:tr>
      <w:tr w14:paraId="77C1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F1BB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C97A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FFF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4、敷设在有可燃物的吊顶内时，宜采取穿金属管、采用封闭式金属线槽或难燃材料的塑料管等防火保护措施。</w:t>
            </w:r>
          </w:p>
        </w:tc>
      </w:tr>
      <w:tr w14:paraId="0484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FC85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B9D24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防火封堵</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1D53">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1、建筑内的电缆井、管道井应在每层楼板处采用不低于楼板耐火极限的不燃烧体或防火封堵材料封堵。</w:t>
            </w:r>
          </w:p>
        </w:tc>
      </w:tr>
      <w:tr w14:paraId="3C30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26ACE">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611E4">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D36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2、建筑内的电缆井、管道井与房间、走道等相连通的孔洞应采用防火封堵材料封堵。</w:t>
            </w:r>
          </w:p>
        </w:tc>
      </w:tr>
      <w:tr w14:paraId="2C5E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6" w:type="dxa"/>
            <w:gridSpan w:val="3"/>
            <w:tcBorders>
              <w:top w:val="single" w:color="000000" w:sz="4" w:space="0"/>
              <w:left w:val="single" w:color="000000" w:sz="4" w:space="0"/>
              <w:bottom w:val="single" w:color="000000" w:sz="4" w:space="0"/>
            </w:tcBorders>
            <w:shd w:val="clear" w:color="auto" w:fill="FFFFFF"/>
            <w:vAlign w:val="center"/>
          </w:tcPr>
          <w:p w14:paraId="5E6668F4">
            <w:pPr>
              <w:pStyle w:val="11"/>
              <w:rPr>
                <w:rFonts w:hint="eastAsia" w:ascii="仿宋_GB2312" w:hAnsi="仿宋_GB2312" w:eastAsia="仿宋_GB2312" w:cs="仿宋_GB2312"/>
                <w:highlight w:val="none"/>
              </w:rPr>
            </w:pPr>
          </w:p>
        </w:tc>
      </w:tr>
      <w:tr w14:paraId="14E6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1AF6A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四、接地和等电位</w:t>
            </w:r>
          </w:p>
        </w:tc>
      </w:tr>
      <w:tr w14:paraId="7BB6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86A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F45B">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检测项目</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DD919">
            <w:pPr>
              <w:pStyle w:val="11"/>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检测要求</w:t>
            </w:r>
          </w:p>
        </w:tc>
      </w:tr>
      <w:tr w14:paraId="092A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8AE85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B5FE02">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一般规定</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E4CE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接地或接零的设备部位：电机、电器、移动用电器具等的金属底座和外壳：配电、控制、保护用的屏（柜、箱）及操作台等的金属框架和底座；电缆桥架、支架和井架：封闭母线的外壳及其他裸露的金属部分；电热设备的金属外壳；控制电缆的金属保护层。</w:t>
            </w:r>
          </w:p>
        </w:tc>
      </w:tr>
      <w:tr w14:paraId="6593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DE68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3EED5">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800AA">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2、接地（PE)或接零（PEN）支线必须单独与接地（PE)或接零（OEN）干线相连接，不得串联连接</w:t>
            </w:r>
          </w:p>
        </w:tc>
      </w:tr>
      <w:tr w14:paraId="0BE7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5FF8D">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0239B">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D253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3、变压器室、高低压开关室内的接地干线应有不少于2处于接地装置引出干线连接。</w:t>
            </w:r>
          </w:p>
        </w:tc>
      </w:tr>
      <w:tr w14:paraId="3FF6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7CF0B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53A533">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D75F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4、当利用金属构件、金属管道做接地线时，应在构件或管道与接地干线间焊接金属跨接线。</w:t>
            </w:r>
          </w:p>
        </w:tc>
      </w:tr>
      <w:tr w14:paraId="3EF0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5AE0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A6332E">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C32F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5、包括配线用的钢导管及金属线槽在内的外界可导电部分，严禁用作PEN线。</w:t>
            </w:r>
          </w:p>
        </w:tc>
      </w:tr>
      <w:tr w14:paraId="50C3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6515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9234AE">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28B8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6、民用建筑物内电气装置应采用总等电位联结。</w:t>
            </w:r>
          </w:p>
        </w:tc>
      </w:tr>
      <w:tr w14:paraId="5014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209AEC">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14B03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安装要求</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C21F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1、发电机中性线（工作零线）应与接地干线直接连接，螺栓防松零件齐全，且有标识。</w:t>
            </w:r>
          </w:p>
        </w:tc>
      </w:tr>
      <w:tr w14:paraId="372B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F3576">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99F9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4BB6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2、不间断电源输出端的中性线（N极），必须与由接地装置直接引来的接地干线相连接，做重复接地。</w:t>
            </w:r>
          </w:p>
        </w:tc>
      </w:tr>
      <w:tr w14:paraId="50A3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27943">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A6755B">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20144">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3、保护网（罩）及母线支架等可接近裸露导体应接地（PE)或接零（PEN）可靠，不应作为接地（PE)或接零（PEN）的连接导体。</w:t>
            </w:r>
          </w:p>
        </w:tc>
      </w:tr>
      <w:tr w14:paraId="51A4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61BB4">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1DCEC">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B646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4、低压电器组合外壳需接地（PE）或接零（PEN)应连接可靠</w:t>
            </w:r>
          </w:p>
        </w:tc>
      </w:tr>
      <w:tr w14:paraId="0743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F6C0E">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ADF1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F5ACB">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5、金属电缆支架、电缆导管必须接地（PE）或接零（PEN)可靠</w:t>
            </w:r>
          </w:p>
        </w:tc>
      </w:tr>
      <w:tr w14:paraId="376D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C8BCC">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5255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74E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6、金属电缆桥架和引入或引出的金属电缆导管必须接地（PE）或接零（PEN)可靠</w:t>
            </w:r>
          </w:p>
        </w:tc>
      </w:tr>
      <w:tr w14:paraId="6495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6B47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B636B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B29C7">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7、当灯具距地面高度小于2.4米时，灯具的可靠性裸露导体必须接地（PE）或接零（PEN)可靠，并应有专用接地螺栓，且有标识。</w:t>
            </w:r>
          </w:p>
        </w:tc>
      </w:tr>
      <w:tr w14:paraId="685E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5816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24698">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36C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8、柜、屏、台、盘、箱的金属框架及基础型钢必须接地（PE）或接零（PEN)可靠；装有电器的门可开，门和框架的接地端子间应用裸编制铜线连接，且有标识。</w:t>
            </w:r>
          </w:p>
        </w:tc>
      </w:tr>
      <w:tr w14:paraId="1434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837C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6B7C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E373A">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9、总等电位联结线的截面不应小于装置的最大保护导体截面的一半，并不应小于6mm²；当联结导体采用铜导体时，其截面不应大于25mm²；当为其他金属时，其截面应承载与25mm²铜导体相当的导流量。</w:t>
            </w:r>
          </w:p>
        </w:tc>
      </w:tr>
      <w:tr w14:paraId="7795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B14D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758280">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F149E">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10、金属的导管和线槽必须接地（PE）或接零（PEN)可靠</w:t>
            </w:r>
          </w:p>
        </w:tc>
      </w:tr>
      <w:tr w14:paraId="0978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35F161">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2909B2">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AF14D">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11、在配电线中固定敷设的铜保护接地中性导体的截面积不应小于  10mm²，铝保护接地中性导体的截面积不应小于16mm²</w:t>
            </w:r>
          </w:p>
        </w:tc>
      </w:tr>
      <w:tr w14:paraId="3F08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814CA">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C01DE">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553B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12、接地干线的连接应采用焊接，焊接必须牢固无虚焊。有色金属接地干线不能采用焊接时，可采用螺栓连接。电气设备上的接地线应采用镀锌螺栓连接。</w:t>
            </w:r>
          </w:p>
        </w:tc>
      </w:tr>
      <w:tr w14:paraId="0721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AB4B85">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DF007">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93D9F">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13、等电位联结中各联结点应牢固连接，可靠导电。</w:t>
            </w:r>
          </w:p>
        </w:tc>
      </w:tr>
      <w:tr w14:paraId="2C2B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AE742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F07D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3ADD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14、保护地线截面，应满足回路保护电器可靠动作要求。</w:t>
            </w:r>
          </w:p>
        </w:tc>
      </w:tr>
      <w:tr w14:paraId="1432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7CAD35">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59DCD8">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接地电阻测试</w:t>
            </w: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816D0">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1、电力装置的接地电阻不宜大于10Ω</w:t>
            </w:r>
          </w:p>
        </w:tc>
      </w:tr>
      <w:tr w14:paraId="7B56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A10F2">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A54D2">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49D6">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2、低压线路每处重复接地装置的接地电阻不宜大于10Ω</w:t>
            </w:r>
          </w:p>
        </w:tc>
      </w:tr>
      <w:tr w14:paraId="3D6E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55B3F">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57181">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C0039">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3、专设接地装置时其接地电阻不宜大于4Ω</w:t>
            </w:r>
          </w:p>
        </w:tc>
      </w:tr>
      <w:tr w14:paraId="6140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E9FAB">
            <w:pPr>
              <w:pStyle w:val="11"/>
              <w:rPr>
                <w:rFonts w:hint="eastAsia" w:ascii="仿宋_GB2312" w:hAnsi="仿宋_GB2312" w:eastAsia="仿宋_GB2312" w:cs="仿宋_GB2312"/>
                <w:highlight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989A6">
            <w:pPr>
              <w:pStyle w:val="11"/>
              <w:rPr>
                <w:rFonts w:hint="eastAsia" w:ascii="仿宋_GB2312" w:hAnsi="仿宋_GB2312" w:eastAsia="仿宋_GB2312" w:cs="仿宋_GB2312"/>
                <w:highlight w:val="none"/>
              </w:rPr>
            </w:pPr>
          </w:p>
        </w:tc>
        <w:tc>
          <w:tcPr>
            <w:tcW w:w="5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111D1">
            <w:pPr>
              <w:pStyle w:val="11"/>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4、采用共用接地时其接地电阻值不应大于1Ω</w:t>
            </w:r>
          </w:p>
        </w:tc>
      </w:tr>
    </w:tbl>
    <w:p w14:paraId="51E70F7B">
      <w:pPr>
        <w:pStyle w:val="8"/>
        <w:numPr>
          <w:ilvl w:val="0"/>
          <w:numId w:val="0"/>
        </w:numPr>
        <w:rPr>
          <w:rFonts w:hint="eastAsia"/>
          <w:lang w:eastAsia="zh-CN"/>
        </w:rPr>
      </w:pPr>
    </w:p>
    <w:p w14:paraId="47E91577">
      <w:pPr>
        <w:rPr>
          <w:rFonts w:hint="eastAsia"/>
          <w:lang w:eastAsia="zh-CN"/>
        </w:rPr>
      </w:pPr>
    </w:p>
    <w:p w14:paraId="13CDFEA3">
      <w:pPr>
        <w:pStyle w:val="11"/>
        <w:jc w:val="both"/>
        <w:outlineLvl w:val="9"/>
        <w:rPr>
          <w:highlight w:val="none"/>
        </w:rPr>
      </w:pPr>
    </w:p>
    <w:p w14:paraId="11AE0635">
      <w:pPr>
        <w:pStyle w:val="11"/>
        <w:jc w:val="both"/>
        <w:outlineLvl w:val="2"/>
        <w:rPr>
          <w:rFonts w:ascii="仿宋_GB2312" w:hAnsi="仿宋_GB2312" w:eastAsia="仿宋_GB2312" w:cs="仿宋_GB2312"/>
          <w:b/>
          <w:sz w:val="28"/>
          <w:highlight w:val="none"/>
        </w:rPr>
      </w:pPr>
      <w:r>
        <w:rPr>
          <w:rFonts w:ascii="仿宋_GB2312" w:hAnsi="仿宋_GB2312" w:eastAsia="仿宋_GB2312" w:cs="仿宋_GB2312"/>
          <w:b/>
          <w:sz w:val="28"/>
          <w:highlight w:val="none"/>
        </w:rPr>
        <w:t>三、商务条件</w:t>
      </w:r>
    </w:p>
    <w:tbl>
      <w:tblPr>
        <w:tblStyle w:val="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63A8F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53412B">
            <w:pPr>
              <w:pStyle w:val="11"/>
              <w:jc w:val="center"/>
              <w:rPr>
                <w:highlight w:val="none"/>
              </w:rPr>
            </w:pPr>
            <w:r>
              <w:rPr>
                <w:rFonts w:ascii="仿宋_GB2312" w:hAnsi="仿宋_GB2312" w:eastAsia="仿宋_GB2312" w:cs="仿宋_GB2312"/>
                <w:highlight w:val="none"/>
              </w:rPr>
              <w:t>序号</w:t>
            </w:r>
          </w:p>
        </w:tc>
        <w:tc>
          <w:tcPr>
            <w:tcW w:w="2076" w:type="dxa"/>
          </w:tcPr>
          <w:p w14:paraId="16F32E12">
            <w:pPr>
              <w:pStyle w:val="11"/>
              <w:jc w:val="center"/>
              <w:rPr>
                <w:highlight w:val="none"/>
              </w:rPr>
            </w:pPr>
            <w:r>
              <w:rPr>
                <w:rFonts w:ascii="仿宋_GB2312" w:hAnsi="仿宋_GB2312" w:eastAsia="仿宋_GB2312" w:cs="仿宋_GB2312"/>
                <w:highlight w:val="none"/>
              </w:rPr>
              <w:t>参数性质</w:t>
            </w:r>
          </w:p>
        </w:tc>
        <w:tc>
          <w:tcPr>
            <w:tcW w:w="2076" w:type="dxa"/>
          </w:tcPr>
          <w:p w14:paraId="61D04335">
            <w:pPr>
              <w:pStyle w:val="11"/>
              <w:jc w:val="center"/>
              <w:rPr>
                <w:highlight w:val="none"/>
              </w:rPr>
            </w:pPr>
            <w:r>
              <w:rPr>
                <w:rFonts w:ascii="仿宋_GB2312" w:hAnsi="仿宋_GB2312" w:eastAsia="仿宋_GB2312" w:cs="仿宋_GB2312"/>
                <w:highlight w:val="none"/>
              </w:rPr>
              <w:t>类型</w:t>
            </w:r>
          </w:p>
        </w:tc>
        <w:tc>
          <w:tcPr>
            <w:tcW w:w="2076" w:type="dxa"/>
          </w:tcPr>
          <w:p w14:paraId="56D08EE4">
            <w:pPr>
              <w:pStyle w:val="11"/>
              <w:jc w:val="center"/>
              <w:rPr>
                <w:highlight w:val="none"/>
              </w:rPr>
            </w:pPr>
            <w:r>
              <w:rPr>
                <w:rFonts w:ascii="仿宋_GB2312" w:hAnsi="仿宋_GB2312" w:eastAsia="仿宋_GB2312" w:cs="仿宋_GB2312"/>
                <w:highlight w:val="none"/>
              </w:rPr>
              <w:t>要求</w:t>
            </w:r>
          </w:p>
        </w:tc>
      </w:tr>
      <w:tr w14:paraId="05BAC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D7F288">
            <w:pPr>
              <w:pStyle w:val="11"/>
              <w:jc w:val="center"/>
              <w:rPr>
                <w:highlight w:val="none"/>
              </w:rPr>
            </w:pPr>
            <w:r>
              <w:rPr>
                <w:rFonts w:ascii="仿宋_GB2312" w:hAnsi="仿宋_GB2312" w:eastAsia="仿宋_GB2312" w:cs="仿宋_GB2312"/>
                <w:highlight w:val="none"/>
              </w:rPr>
              <w:t>1</w:t>
            </w:r>
          </w:p>
        </w:tc>
        <w:tc>
          <w:tcPr>
            <w:tcW w:w="2076" w:type="dxa"/>
          </w:tcPr>
          <w:p w14:paraId="01ADA7B5">
            <w:pPr>
              <w:pStyle w:val="11"/>
              <w:jc w:val="center"/>
              <w:rPr>
                <w:highlight w:val="none"/>
              </w:rPr>
            </w:pPr>
            <w:r>
              <w:rPr>
                <w:rFonts w:ascii="仿宋_GB2312" w:hAnsi="仿宋_GB2312" w:eastAsia="仿宋_GB2312" w:cs="仿宋_GB2312"/>
                <w:highlight w:val="none"/>
              </w:rPr>
              <w:t>★</w:t>
            </w:r>
          </w:p>
        </w:tc>
        <w:tc>
          <w:tcPr>
            <w:tcW w:w="2076" w:type="dxa"/>
          </w:tcPr>
          <w:p w14:paraId="563654B9">
            <w:pPr>
              <w:pStyle w:val="11"/>
              <w:rPr>
                <w:highlight w:val="none"/>
              </w:rPr>
            </w:pPr>
            <w:r>
              <w:rPr>
                <w:rFonts w:ascii="仿宋_GB2312" w:hAnsi="仿宋_GB2312" w:eastAsia="仿宋_GB2312" w:cs="仿宋_GB2312"/>
                <w:highlight w:val="none"/>
              </w:rPr>
              <w:t>交货时间</w:t>
            </w:r>
          </w:p>
        </w:tc>
        <w:tc>
          <w:tcPr>
            <w:tcW w:w="2076" w:type="dxa"/>
          </w:tcPr>
          <w:p w14:paraId="0F540F42">
            <w:pPr>
              <w:pStyle w:val="11"/>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eastAsia="zh-CN"/>
              </w:rPr>
              <w:t>自合同签订之日</w:t>
            </w:r>
            <w:r>
              <w:rPr>
                <w:rFonts w:hint="eastAsia" w:ascii="仿宋_GB2312" w:hAnsi="仿宋_GB2312" w:eastAsia="仿宋_GB2312" w:cs="仿宋_GB2312"/>
                <w:highlight w:val="none"/>
                <w:lang w:val="en-US" w:eastAsia="zh-CN"/>
              </w:rPr>
              <w:t>一周内完成检测，检测完工后5个工作日内提供报告，检测单位具备电力承装修试（四级）许可证</w:t>
            </w:r>
          </w:p>
        </w:tc>
      </w:tr>
      <w:tr w14:paraId="084B2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060358">
            <w:pPr>
              <w:pStyle w:val="11"/>
              <w:jc w:val="center"/>
              <w:rPr>
                <w:highlight w:val="none"/>
              </w:rPr>
            </w:pPr>
            <w:r>
              <w:rPr>
                <w:rFonts w:ascii="仿宋_GB2312" w:hAnsi="仿宋_GB2312" w:eastAsia="仿宋_GB2312" w:cs="仿宋_GB2312"/>
                <w:highlight w:val="none"/>
              </w:rPr>
              <w:t>2</w:t>
            </w:r>
          </w:p>
        </w:tc>
        <w:tc>
          <w:tcPr>
            <w:tcW w:w="2076" w:type="dxa"/>
          </w:tcPr>
          <w:p w14:paraId="6CF05DB4">
            <w:pPr>
              <w:pStyle w:val="11"/>
              <w:jc w:val="center"/>
              <w:rPr>
                <w:highlight w:val="none"/>
              </w:rPr>
            </w:pPr>
            <w:r>
              <w:rPr>
                <w:rFonts w:ascii="仿宋_GB2312" w:hAnsi="仿宋_GB2312" w:eastAsia="仿宋_GB2312" w:cs="仿宋_GB2312"/>
                <w:highlight w:val="none"/>
              </w:rPr>
              <w:t>★</w:t>
            </w:r>
          </w:p>
        </w:tc>
        <w:tc>
          <w:tcPr>
            <w:tcW w:w="2076" w:type="dxa"/>
          </w:tcPr>
          <w:p w14:paraId="0D17A6E2">
            <w:pPr>
              <w:pStyle w:val="11"/>
              <w:rPr>
                <w:highlight w:val="none"/>
              </w:rPr>
            </w:pPr>
            <w:r>
              <w:rPr>
                <w:rFonts w:ascii="仿宋_GB2312" w:hAnsi="仿宋_GB2312" w:eastAsia="仿宋_GB2312" w:cs="仿宋_GB2312"/>
                <w:highlight w:val="none"/>
              </w:rPr>
              <w:t>交货地点</w:t>
            </w:r>
          </w:p>
        </w:tc>
        <w:tc>
          <w:tcPr>
            <w:tcW w:w="2076" w:type="dxa"/>
          </w:tcPr>
          <w:p w14:paraId="1A35F910">
            <w:pPr>
              <w:pStyle w:val="11"/>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榕水大厦（福州市鼓楼区东街104号）</w:t>
            </w:r>
          </w:p>
        </w:tc>
      </w:tr>
      <w:tr w14:paraId="15D67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1258792D">
            <w:pPr>
              <w:pStyle w:val="11"/>
              <w:jc w:val="center"/>
              <w:rPr>
                <w:highlight w:val="none"/>
              </w:rPr>
            </w:pPr>
            <w:r>
              <w:rPr>
                <w:rFonts w:ascii="仿宋_GB2312" w:hAnsi="仿宋_GB2312" w:eastAsia="仿宋_GB2312" w:cs="仿宋_GB2312"/>
                <w:highlight w:val="none"/>
              </w:rPr>
              <w:t>3</w:t>
            </w:r>
          </w:p>
        </w:tc>
        <w:tc>
          <w:tcPr>
            <w:tcW w:w="2076" w:type="dxa"/>
          </w:tcPr>
          <w:p w14:paraId="0C695DA1">
            <w:pPr>
              <w:pStyle w:val="11"/>
              <w:jc w:val="center"/>
              <w:rPr>
                <w:highlight w:val="none"/>
              </w:rPr>
            </w:pPr>
            <w:r>
              <w:rPr>
                <w:rFonts w:ascii="仿宋_GB2312" w:hAnsi="仿宋_GB2312" w:eastAsia="仿宋_GB2312" w:cs="仿宋_GB2312"/>
                <w:highlight w:val="none"/>
              </w:rPr>
              <w:t>★</w:t>
            </w:r>
          </w:p>
        </w:tc>
        <w:tc>
          <w:tcPr>
            <w:tcW w:w="2076" w:type="dxa"/>
          </w:tcPr>
          <w:p w14:paraId="4F06F47F">
            <w:pPr>
              <w:pStyle w:val="11"/>
              <w:rPr>
                <w:highlight w:val="none"/>
              </w:rPr>
            </w:pPr>
            <w:r>
              <w:rPr>
                <w:rFonts w:ascii="仿宋_GB2312" w:hAnsi="仿宋_GB2312" w:eastAsia="仿宋_GB2312" w:cs="仿宋_GB2312"/>
                <w:highlight w:val="none"/>
              </w:rPr>
              <w:t>交货条件</w:t>
            </w:r>
          </w:p>
        </w:tc>
        <w:tc>
          <w:tcPr>
            <w:tcW w:w="2076" w:type="dxa"/>
          </w:tcPr>
          <w:p w14:paraId="527DC74E">
            <w:pPr>
              <w:pStyle w:val="11"/>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按询价文件要求</w:t>
            </w:r>
          </w:p>
        </w:tc>
      </w:tr>
      <w:tr w14:paraId="3B2AE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3AC047">
            <w:pPr>
              <w:pStyle w:val="11"/>
              <w:jc w:val="center"/>
              <w:rPr>
                <w:highlight w:val="none"/>
              </w:rPr>
            </w:pPr>
            <w:r>
              <w:rPr>
                <w:rFonts w:ascii="仿宋_GB2312" w:hAnsi="仿宋_GB2312" w:eastAsia="仿宋_GB2312" w:cs="仿宋_GB2312"/>
                <w:highlight w:val="none"/>
              </w:rPr>
              <w:t>4</w:t>
            </w:r>
          </w:p>
        </w:tc>
        <w:tc>
          <w:tcPr>
            <w:tcW w:w="2076" w:type="dxa"/>
          </w:tcPr>
          <w:p w14:paraId="3E956ADC">
            <w:pPr>
              <w:pStyle w:val="11"/>
              <w:jc w:val="center"/>
              <w:rPr>
                <w:highlight w:val="none"/>
              </w:rPr>
            </w:pPr>
            <w:r>
              <w:rPr>
                <w:rFonts w:ascii="仿宋_GB2312" w:hAnsi="仿宋_GB2312" w:eastAsia="仿宋_GB2312" w:cs="仿宋_GB2312"/>
                <w:highlight w:val="none"/>
              </w:rPr>
              <w:t>★</w:t>
            </w:r>
          </w:p>
        </w:tc>
        <w:tc>
          <w:tcPr>
            <w:tcW w:w="2076" w:type="dxa"/>
          </w:tcPr>
          <w:p w14:paraId="6111A9CA">
            <w:pPr>
              <w:pStyle w:val="11"/>
              <w:rPr>
                <w:highlight w:val="none"/>
              </w:rPr>
            </w:pPr>
            <w:r>
              <w:rPr>
                <w:rFonts w:ascii="仿宋_GB2312" w:hAnsi="仿宋_GB2312" w:eastAsia="仿宋_GB2312" w:cs="仿宋_GB2312"/>
                <w:highlight w:val="none"/>
              </w:rPr>
              <w:t>是否邀请</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验收</w:t>
            </w:r>
          </w:p>
        </w:tc>
        <w:tc>
          <w:tcPr>
            <w:tcW w:w="2076" w:type="dxa"/>
          </w:tcPr>
          <w:p w14:paraId="00250F11">
            <w:pPr>
              <w:pStyle w:val="11"/>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r>
      <w:tr w14:paraId="5E1A6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96112F">
            <w:pPr>
              <w:pStyle w:val="11"/>
              <w:jc w:val="center"/>
              <w:rPr>
                <w:highlight w:val="none"/>
              </w:rPr>
            </w:pPr>
            <w:r>
              <w:rPr>
                <w:rFonts w:ascii="仿宋_GB2312" w:hAnsi="仿宋_GB2312" w:eastAsia="仿宋_GB2312" w:cs="仿宋_GB2312"/>
                <w:highlight w:val="none"/>
              </w:rPr>
              <w:t>5</w:t>
            </w:r>
          </w:p>
        </w:tc>
        <w:tc>
          <w:tcPr>
            <w:tcW w:w="2076" w:type="dxa"/>
          </w:tcPr>
          <w:p w14:paraId="31389C0D">
            <w:pPr>
              <w:pStyle w:val="11"/>
              <w:jc w:val="center"/>
              <w:rPr>
                <w:highlight w:val="none"/>
              </w:rPr>
            </w:pPr>
            <w:r>
              <w:rPr>
                <w:rFonts w:ascii="仿宋_GB2312" w:hAnsi="仿宋_GB2312" w:eastAsia="仿宋_GB2312" w:cs="仿宋_GB2312"/>
                <w:highlight w:val="none"/>
              </w:rPr>
              <w:t>★</w:t>
            </w:r>
          </w:p>
        </w:tc>
        <w:tc>
          <w:tcPr>
            <w:tcW w:w="2076" w:type="dxa"/>
          </w:tcPr>
          <w:p w14:paraId="698727D1">
            <w:pPr>
              <w:pStyle w:val="11"/>
              <w:rPr>
                <w:highlight w:val="none"/>
              </w:rPr>
            </w:pPr>
            <w:r>
              <w:rPr>
                <w:rFonts w:ascii="仿宋_GB2312" w:hAnsi="仿宋_GB2312" w:eastAsia="仿宋_GB2312" w:cs="仿宋_GB2312"/>
                <w:highlight w:val="none"/>
              </w:rPr>
              <w:t>履约验收方式</w:t>
            </w:r>
          </w:p>
        </w:tc>
        <w:tc>
          <w:tcPr>
            <w:tcW w:w="2076" w:type="dxa"/>
          </w:tcPr>
          <w:p w14:paraId="34CE967C">
            <w:pPr>
              <w:pStyle w:val="11"/>
              <w:rPr>
                <w:rFonts w:hint="eastAsia" w:ascii="仿宋_GB2312" w:hAnsi="仿宋_GB2312" w:cs="仿宋_GB2312" w:eastAsiaTheme="minorEastAsia"/>
                <w:highlight w:val="none"/>
                <w:lang w:eastAsia="zh-CN"/>
              </w:rPr>
            </w:pPr>
            <w:r>
              <w:rPr>
                <w:rFonts w:hint="eastAsia" w:ascii="仿宋_GB2312" w:hAnsi="仿宋_GB2312" w:eastAsia="仿宋_GB2312" w:cs="仿宋_GB2312"/>
                <w:highlight w:val="none"/>
                <w:lang w:eastAsia="zh-CN"/>
              </w:rPr>
              <w:t>检测完成后</w:t>
            </w:r>
            <w:r>
              <w:rPr>
                <w:rFonts w:hint="eastAsia" w:ascii="仿宋_GB2312" w:hAnsi="仿宋_GB2312" w:eastAsia="仿宋_GB2312" w:cs="仿宋_GB2312"/>
                <w:highlight w:val="none"/>
                <w:lang w:val="en-US" w:eastAsia="zh-CN"/>
              </w:rPr>
              <w:t>5个工作日内提供检测报告</w:t>
            </w:r>
            <w:r>
              <w:rPr>
                <w:rFonts w:hint="eastAsia"/>
                <w:lang w:eastAsia="zh-CN"/>
              </w:rPr>
              <w:t>（三份纸质报告、一份电子档）</w:t>
            </w:r>
          </w:p>
        </w:tc>
      </w:tr>
      <w:tr w14:paraId="46114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FF01F6">
            <w:pPr>
              <w:pStyle w:val="11"/>
              <w:jc w:val="center"/>
              <w:rPr>
                <w:highlight w:val="none"/>
              </w:rPr>
            </w:pPr>
            <w:r>
              <w:rPr>
                <w:rFonts w:ascii="仿宋_GB2312" w:hAnsi="仿宋_GB2312" w:eastAsia="仿宋_GB2312" w:cs="仿宋_GB2312"/>
                <w:highlight w:val="none"/>
              </w:rPr>
              <w:t>6</w:t>
            </w:r>
          </w:p>
        </w:tc>
        <w:tc>
          <w:tcPr>
            <w:tcW w:w="2076" w:type="dxa"/>
          </w:tcPr>
          <w:p w14:paraId="15DBCC00">
            <w:pPr>
              <w:pStyle w:val="11"/>
              <w:jc w:val="center"/>
              <w:rPr>
                <w:highlight w:val="none"/>
              </w:rPr>
            </w:pPr>
            <w:r>
              <w:rPr>
                <w:rFonts w:ascii="仿宋_GB2312" w:hAnsi="仿宋_GB2312" w:eastAsia="仿宋_GB2312" w:cs="仿宋_GB2312"/>
                <w:highlight w:val="none"/>
              </w:rPr>
              <w:t>★</w:t>
            </w:r>
          </w:p>
        </w:tc>
        <w:tc>
          <w:tcPr>
            <w:tcW w:w="2076" w:type="dxa"/>
          </w:tcPr>
          <w:p w14:paraId="4B5BE28D">
            <w:pPr>
              <w:pStyle w:val="11"/>
              <w:rPr>
                <w:highlight w:val="none"/>
              </w:rPr>
            </w:pPr>
            <w:r>
              <w:rPr>
                <w:rFonts w:ascii="仿宋_GB2312" w:hAnsi="仿宋_GB2312" w:eastAsia="仿宋_GB2312" w:cs="仿宋_GB2312"/>
                <w:highlight w:val="none"/>
              </w:rPr>
              <w:t>合同支付方式</w:t>
            </w:r>
          </w:p>
        </w:tc>
        <w:tc>
          <w:tcPr>
            <w:tcW w:w="2076" w:type="dxa"/>
          </w:tcPr>
          <w:p w14:paraId="3D5D1891">
            <w:pPr>
              <w:pStyle w:val="11"/>
              <w:rPr>
                <w:rFonts w:ascii="仿宋_GB2312" w:hAnsi="仿宋_GB2312" w:eastAsia="仿宋_GB2312" w:cs="仿宋_GB2312"/>
                <w:highlight w:val="none"/>
              </w:rPr>
            </w:pPr>
            <w:r>
              <w:rPr>
                <w:rFonts w:hint="eastAsia" w:ascii="仿宋_GB2312" w:hAnsi="仿宋_GB2312" w:eastAsia="仿宋_GB2312" w:cs="仿宋_GB2312"/>
                <w:highlight w:val="none"/>
                <w:lang w:eastAsia="zh-CN"/>
              </w:rPr>
              <w:t>经采购人验收合格后，供应商开具国家核发正规发票结算，采购人在收到发票30日内一次性付款。</w:t>
            </w:r>
          </w:p>
        </w:tc>
      </w:tr>
      <w:tr w14:paraId="5FD7E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3A537B41">
            <w:pPr>
              <w:pStyle w:val="11"/>
              <w:jc w:val="center"/>
              <w:rPr>
                <w:highlight w:val="none"/>
              </w:rPr>
            </w:pPr>
            <w:r>
              <w:rPr>
                <w:rFonts w:ascii="仿宋_GB2312" w:hAnsi="仿宋_GB2312" w:eastAsia="仿宋_GB2312" w:cs="仿宋_GB2312"/>
                <w:highlight w:val="none"/>
              </w:rPr>
              <w:t>7</w:t>
            </w:r>
          </w:p>
        </w:tc>
        <w:tc>
          <w:tcPr>
            <w:tcW w:w="2076" w:type="dxa"/>
          </w:tcPr>
          <w:p w14:paraId="4E073B18">
            <w:pPr>
              <w:pStyle w:val="11"/>
              <w:jc w:val="center"/>
              <w:rPr>
                <w:highlight w:val="none"/>
              </w:rPr>
            </w:pPr>
            <w:r>
              <w:rPr>
                <w:rFonts w:ascii="仿宋_GB2312" w:hAnsi="仿宋_GB2312" w:eastAsia="仿宋_GB2312" w:cs="仿宋_GB2312"/>
                <w:highlight w:val="none"/>
              </w:rPr>
              <w:t>★</w:t>
            </w:r>
          </w:p>
        </w:tc>
        <w:tc>
          <w:tcPr>
            <w:tcW w:w="2076" w:type="dxa"/>
          </w:tcPr>
          <w:p w14:paraId="58905A8E">
            <w:pPr>
              <w:pStyle w:val="11"/>
              <w:rPr>
                <w:highlight w:val="none"/>
              </w:rPr>
            </w:pPr>
            <w:r>
              <w:rPr>
                <w:rFonts w:ascii="仿宋_GB2312" w:hAnsi="仿宋_GB2312" w:eastAsia="仿宋_GB2312" w:cs="仿宋_GB2312"/>
                <w:highlight w:val="none"/>
              </w:rPr>
              <w:t>履约保证金</w:t>
            </w:r>
          </w:p>
        </w:tc>
        <w:tc>
          <w:tcPr>
            <w:tcW w:w="2076" w:type="dxa"/>
          </w:tcPr>
          <w:p w14:paraId="0AA69C67">
            <w:pPr>
              <w:pStyle w:val="11"/>
              <w:rPr>
                <w:rFonts w:hint="eastAsia" w:eastAsiaTheme="minorEastAsia"/>
                <w:highlight w:val="none"/>
                <w:lang w:eastAsia="zh-CN"/>
              </w:rPr>
            </w:pPr>
            <w:r>
              <w:rPr>
                <w:rFonts w:hint="eastAsia"/>
                <w:highlight w:val="none"/>
                <w:lang w:eastAsia="zh-CN"/>
              </w:rPr>
              <w:t>无</w:t>
            </w:r>
          </w:p>
        </w:tc>
      </w:tr>
    </w:tbl>
    <w:p w14:paraId="282226EA">
      <w:pPr>
        <w:pStyle w:val="11"/>
        <w:jc w:val="left"/>
        <w:outlineLvl w:val="9"/>
        <w:rPr>
          <w:rFonts w:hint="eastAsia" w:ascii="仿宋_GB2312" w:hAnsi="仿宋_GB2312" w:eastAsia="仿宋_GB2312" w:cs="仿宋_GB2312"/>
          <w:b w:val="0"/>
          <w:bCs w:val="0"/>
          <w:sz w:val="28"/>
          <w:highlight w:val="none"/>
          <w:lang w:eastAsia="zh-CN"/>
        </w:rPr>
      </w:pPr>
      <w:r>
        <w:rPr>
          <w:rFonts w:ascii="仿宋_GB2312" w:hAnsi="仿宋_GB2312" w:eastAsia="仿宋_GB2312" w:cs="仿宋_GB2312"/>
          <w:b/>
          <w:bCs/>
          <w:highlight w:val="none"/>
        </w:rPr>
        <w:t>其他商务要求：</w:t>
      </w:r>
      <w:r>
        <w:rPr>
          <w:rFonts w:hint="eastAsia" w:ascii="仿宋_GB2312" w:hAnsi="仿宋_GB2312" w:eastAsia="仿宋_GB2312" w:cs="仿宋_GB2312"/>
          <w:b w:val="0"/>
          <w:bCs w:val="0"/>
          <w:highlight w:val="none"/>
          <w:lang w:eastAsia="zh-CN"/>
        </w:rPr>
        <w:t>无</w:t>
      </w:r>
    </w:p>
    <w:p w14:paraId="5E9E1A36">
      <w:pPr>
        <w:pStyle w:val="11"/>
        <w:jc w:val="both"/>
        <w:outlineLvl w:val="2"/>
        <w:rPr>
          <w:highlight w:val="none"/>
        </w:rPr>
      </w:pPr>
      <w:r>
        <w:rPr>
          <w:rFonts w:ascii="仿宋_GB2312" w:hAnsi="仿宋_GB2312" w:eastAsia="仿宋_GB2312" w:cs="仿宋_GB2312"/>
          <w:b/>
          <w:sz w:val="28"/>
          <w:highlight w:val="none"/>
        </w:rPr>
        <w:t>四、其他事项</w:t>
      </w:r>
    </w:p>
    <w:p w14:paraId="62621FAB">
      <w:pPr>
        <w:pStyle w:val="11"/>
        <w:ind w:firstLine="480"/>
        <w:jc w:val="both"/>
        <w:rPr>
          <w:rFonts w:ascii="仿宋_GB2312" w:hAnsi="仿宋_GB2312" w:eastAsia="仿宋_GB2312" w:cs="仿宋_GB2312"/>
          <w:highlight w:val="none"/>
        </w:rPr>
      </w:pPr>
      <w:r>
        <w:rPr>
          <w:rFonts w:ascii="仿宋_GB2312" w:hAnsi="仿宋_GB2312" w:eastAsia="仿宋_GB2312" w:cs="仿宋_GB2312"/>
          <w:highlight w:val="none"/>
        </w:rPr>
        <w:t>1、除</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文件另有规定外，若出现有关法律、法规和规章有强制性规定但</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文件未列明的情形，则</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应按照有关法律、法规和规章强制性规定执行。</w:t>
      </w:r>
    </w:p>
    <w:p w14:paraId="0906CCDE">
      <w:pPr>
        <w:pStyle w:val="11"/>
        <w:numPr>
          <w:ilvl w:val="-1"/>
          <w:numId w:val="0"/>
        </w:numPr>
        <w:spacing w:line="240" w:lineRule="auto"/>
        <w:ind w:left="0" w:leftChars="0" w:firstLine="480" w:firstLineChars="0"/>
        <w:jc w:val="both"/>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kern w:val="0"/>
          <w:sz w:val="20"/>
          <w:szCs w:val="20"/>
          <w:highlight w:val="none"/>
          <w:lang w:val="en-US" w:eastAsia="zh-CN"/>
        </w:rPr>
        <w:t>乙方工作人员在进场前需签署《安全生产管理协议书》（详见附件），并提供高压电工证及低压电工证及公司保险复印件提前报备，乙方人员在场期间的人身及财产安全由乙方全权负责，因乙方违规操作造成的事故由乙方承担全部法律责任。</w:t>
      </w:r>
    </w:p>
    <w:p w14:paraId="7FA9B627">
      <w:pPr>
        <w:pStyle w:val="11"/>
        <w:numPr>
          <w:ilvl w:val="-1"/>
          <w:numId w:val="0"/>
        </w:numPr>
        <w:spacing w:line="240" w:lineRule="auto"/>
        <w:ind w:left="0" w:leftChars="0" w:firstLine="480" w:firstLineChars="0"/>
        <w:jc w:val="both"/>
        <w:outlineLvl w:val="9"/>
        <w:rPr>
          <w:rFonts w:ascii="仿宋_GB2312" w:hAnsi="仿宋_GB2312" w:eastAsia="仿宋_GB2312" w:cs="仿宋_GB2312"/>
          <w:b/>
          <w:bCs/>
          <w:sz w:val="20"/>
          <w:highlight w:val="none"/>
        </w:rPr>
      </w:pPr>
      <w:r>
        <w:rPr>
          <w:rFonts w:ascii="仿宋_GB2312" w:hAnsi="仿宋_GB2312" w:eastAsia="仿宋_GB2312" w:cs="仿宋_GB2312"/>
          <w:b/>
          <w:bCs/>
          <w:sz w:val="20"/>
          <w:highlight w:val="none"/>
        </w:rPr>
        <w:t>合同附件</w:t>
      </w:r>
    </w:p>
    <w:p w14:paraId="7A49D86A">
      <w:pPr>
        <w:pStyle w:val="11"/>
        <w:spacing w:line="360" w:lineRule="auto"/>
        <w:ind w:firstLineChars="200"/>
        <w:jc w:val="left"/>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highlight w:val="none"/>
          <w:lang w:eastAsia="zh-CN"/>
        </w:rPr>
        <w:t>附</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b w:val="0"/>
          <w:bCs w:val="0"/>
          <w:sz w:val="20"/>
          <w:szCs w:val="20"/>
          <w:highlight w:val="none"/>
        </w:rPr>
        <w:t>《安全生产管理协议书》</w:t>
      </w:r>
    </w:p>
    <w:p w14:paraId="41D0DAD1">
      <w:pPr>
        <w:pStyle w:val="11"/>
        <w:snapToGrid w:val="0"/>
        <w:spacing w:line="360" w:lineRule="auto"/>
        <w:ind w:firstLineChars="200"/>
        <w:jc w:val="left"/>
        <w:rPr>
          <w:rFonts w:hint="eastAsia" w:ascii="仿宋_GB2312" w:hAnsi="仿宋_GB2312" w:eastAsia="仿宋_GB2312" w:cs="仿宋_GB2312"/>
          <w:sz w:val="20"/>
          <w:szCs w:val="20"/>
          <w:highlight w:val="none"/>
          <w:u w:val="none"/>
        </w:rPr>
      </w:pPr>
      <w:r>
        <w:rPr>
          <w:rFonts w:hint="eastAsia" w:ascii="仿宋_GB2312" w:hAnsi="仿宋_GB2312" w:eastAsia="仿宋_GB2312" w:cs="仿宋_GB2312"/>
          <w:sz w:val="20"/>
          <w:szCs w:val="20"/>
          <w:highlight w:val="none"/>
        </w:rPr>
        <w:t>甲方：（单位全称）</w:t>
      </w:r>
      <w:r>
        <w:rPr>
          <w:rFonts w:hint="eastAsia" w:ascii="仿宋_GB2312" w:hAnsi="仿宋_GB2312" w:eastAsia="仿宋_GB2312" w:cs="仿宋_GB2312"/>
          <w:b w:val="0"/>
          <w:sz w:val="20"/>
          <w:szCs w:val="20"/>
          <w:highlight w:val="none"/>
          <w:u w:val="none"/>
        </w:rPr>
        <w:t>福州市自来水有限公司</w:t>
      </w:r>
      <w:r>
        <w:rPr>
          <w:rFonts w:hint="eastAsia" w:ascii="仿宋_GB2312" w:hAnsi="仿宋_GB2312" w:eastAsia="仿宋_GB2312" w:cs="仿宋_GB2312"/>
          <w:sz w:val="20"/>
          <w:szCs w:val="20"/>
          <w:highlight w:val="none"/>
          <w:u w:val="none"/>
        </w:rPr>
        <w:t xml:space="preserve">      </w:t>
      </w:r>
    </w:p>
    <w:p w14:paraId="48F889C2">
      <w:pPr>
        <w:pStyle w:val="11"/>
        <w:snapToGrid w:val="0"/>
        <w:spacing w:line="360" w:lineRule="auto"/>
        <w:ind w:firstLineChars="200"/>
        <w:jc w:val="left"/>
        <w:rPr>
          <w:rFonts w:hint="eastAsia" w:ascii="仿宋_GB2312" w:hAnsi="仿宋_GB2312" w:eastAsia="仿宋_GB2312" w:cs="仿宋_GB2312"/>
          <w:sz w:val="20"/>
          <w:szCs w:val="20"/>
          <w:highlight w:val="none"/>
          <w:u w:val="none"/>
        </w:rPr>
      </w:pPr>
      <w:r>
        <w:rPr>
          <w:rFonts w:hint="eastAsia" w:ascii="仿宋_GB2312" w:hAnsi="仿宋_GB2312" w:eastAsia="仿宋_GB2312" w:cs="仿宋_GB2312"/>
          <w:sz w:val="20"/>
          <w:szCs w:val="20"/>
          <w:highlight w:val="none"/>
        </w:rPr>
        <w:t>乙方：（单位全称）</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p>
    <w:p w14:paraId="742DE1B0">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p>
    <w:p w14:paraId="27454621">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为切实落实安全生产责任，确保</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rPr>
        <w:t>（以下简称“本项目”）作业过程中的安全生产管理工作，根据《中华人民共和国安全生产法》《建设工程安全生产管理条例》《福建省安全生产条例》等相关法律法规，经双方协商，一致同意达成如下协议，并保证严格遵守。</w:t>
      </w:r>
    </w:p>
    <w:p w14:paraId="27C2E488">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一、双方联络人</w:t>
      </w:r>
    </w:p>
    <w:p w14:paraId="07329B8B">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甲乙双方按职责分工抓好落实安全生产管理工作。甲方</w:t>
      </w:r>
      <w:r>
        <w:rPr>
          <w:rFonts w:hint="eastAsia" w:ascii="仿宋_GB2312" w:hAnsi="仿宋_GB2312" w:eastAsia="仿宋_GB2312" w:cs="仿宋_GB2312"/>
          <w:sz w:val="20"/>
          <w:szCs w:val="20"/>
          <w:highlight w:val="none"/>
          <w:lang w:eastAsia="zh-CN"/>
        </w:rPr>
        <w:t>指</w:t>
      </w:r>
      <w:r>
        <w:rPr>
          <w:rFonts w:hint="eastAsia" w:ascii="仿宋_GB2312" w:hAnsi="仿宋_GB2312" w:eastAsia="仿宋_GB2312" w:cs="仿宋_GB2312"/>
          <w:sz w:val="20"/>
          <w:szCs w:val="20"/>
          <w:highlight w:val="none"/>
        </w:rPr>
        <w:t>派</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，联系电话：</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，负责本项目的安全生产监管工作。乙方指派</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，联系电话：</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，负责本项目的安全生产工作，并接受甲方的监督管理。</w:t>
      </w:r>
    </w:p>
    <w:p w14:paraId="64B7D1A2">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 xml:space="preserve">二、甲方的安全责任、权利和义务 </w:t>
      </w:r>
    </w:p>
    <w:p w14:paraId="4135B863">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甲方有权对本项目现场含乙方在内的多家单位进行安全生产工作的统一协调、管理，对乙方在作业场所内实施的行为的安全性给予监督和检查。有权督促指导乙方在进场前开展危险作业风险辨识，形成危险作业工序清单，并据此清单督促乙方落实安全管理责任。</w:t>
      </w:r>
    </w:p>
    <w:p w14:paraId="622E794C">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2、乙方人员进入甲方场所前，甲方有权对乙方进入甲方场所的人员进行登记造册及入场前安全交底和培训。</w:t>
      </w:r>
    </w:p>
    <w:p w14:paraId="637F26A9">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3、对于乙方不符合甲方安全要求或不遵守相关安全法律法规的行为，甲方有权制止并责令其限期整改或停工整顿；对于乙方的违约行为，甲方有权按照约定进行经济处罚。</w:t>
      </w:r>
    </w:p>
    <w:p w14:paraId="1A465003">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4、对乙方的严重违反安全生产管理法律法规、达不到安全生产条件、存在重大安全隐患或发生安全生产事故等行为，甲方可要求乙方限期更换人员或退场，甲方有权单方终止本项目所有合同，所造成的经济损失和一切后果由乙方承担。 </w:t>
      </w:r>
    </w:p>
    <w:p w14:paraId="2F9B19E0">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 xml:space="preserve">三、乙方的安全责任、权利和义务 </w:t>
      </w:r>
    </w:p>
    <w:p w14:paraId="26DE2E5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仿宋_GB2312" w:hAnsi="仿宋_GB2312" w:eastAsia="仿宋_GB2312" w:cs="仿宋_GB2312"/>
          <w:sz w:val="20"/>
          <w:szCs w:val="20"/>
          <w:highlight w:val="none"/>
          <w:u w:val="none"/>
        </w:rPr>
        <w:t xml:space="preserve">福州市自来水有限公司 </w:t>
      </w:r>
      <w:r>
        <w:rPr>
          <w:rFonts w:hint="eastAsia" w:ascii="仿宋_GB2312" w:hAnsi="仿宋_GB2312" w:eastAsia="仿宋_GB2312" w:cs="仿宋_GB2312"/>
          <w:sz w:val="20"/>
          <w:szCs w:val="20"/>
          <w:highlight w:val="none"/>
        </w:rPr>
        <w:t>等一系列安全生产体系规章制度。</w:t>
      </w:r>
    </w:p>
    <w:p w14:paraId="5AD05F78">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w:t>
      </w:r>
      <w:r>
        <w:rPr>
          <w:rFonts w:hint="eastAsia" w:ascii="仿宋_GB2312" w:hAnsi="仿宋_GB2312" w:eastAsia="仿宋_GB2312" w:cs="仿宋_GB2312"/>
          <w:sz w:val="20"/>
          <w:szCs w:val="20"/>
          <w:highlight w:val="none"/>
          <w:shd w:val="clear"/>
        </w:rPr>
        <w:t>、</w:t>
      </w:r>
      <w:r>
        <w:rPr>
          <w:rFonts w:hint="eastAsia" w:ascii="仿宋_GB2312" w:hAnsi="仿宋_GB2312" w:eastAsia="仿宋_GB2312" w:cs="仿宋_GB2312"/>
          <w:sz w:val="20"/>
          <w:szCs w:val="20"/>
          <w:highlight w:val="none"/>
        </w:rPr>
        <w:t>乙方承诺具备实施本项目的资质和能力，具备安全生产条件。乙方必须建立完整的安全保障体系和风险辨识分级管控与隐患排查治理体系，必须在进场施工前，开展风险辨识并形成危险作业工序清单，并有效落实风险防范措施；乙方必须按照本项目特点，组织制定本项目实施中的现场管理及应急处置方案，制定生产安全事故应急救援预案等，并严格执行。</w:t>
      </w:r>
    </w:p>
    <w:p w14:paraId="51A24A9A">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3、乙方法定代表人/负责人对乙方的安全生产工作全面负责。</w:t>
      </w:r>
    </w:p>
    <w:p w14:paraId="76D4018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乙方应配备专职的项目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14:paraId="52D347EE">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3.2乙方应当设立安全生产管理机构，配备专职安全生产管理人员，专职安全生产管理人员每天在本项目现场履行安全管理职责，负责对安全生产进行现场监督检查。发现安全事故隐患，应当及时向甲方的项目负责人和安全生产管理机构报告；对违章指挥、违章操作的，应当立即制止。</w:t>
      </w:r>
    </w:p>
    <w:p w14:paraId="6ED54F31">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4、乙方在本项目施工作业期间，必须保证使用的设备设施（包括用电设施、设备安全防护措施、劳动保护用品等）符合国家和行业标准要求，并定期进行检查、维护、保养等，由此产生的相关费用由乙方承担。</w:t>
      </w:r>
    </w:p>
    <w:p w14:paraId="4DA448B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5、乙方保证特种作业人员必须按照国家有关规定经过专门的安全作业培训，并取得特种作业操作资格证书后，方可上岗作业，施工现场如出现特种作业无证操作现象时，乙方必须承担一切责任。</w:t>
      </w:r>
    </w:p>
    <w:p w14:paraId="10EBF885">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6、乙方保证作业人员身体素质、安全素质符合规定要求，不得雇佣身体条件不合格、技术水平不达标、安全素质差的作业人员。</w:t>
      </w:r>
    </w:p>
    <w:p w14:paraId="3FE33BC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乙方作业人员及其他人员进场的，乙方应进行登记造册，向甲方有关部门提供符合要求的进场人员名单，乙方应进行进场上岗前（入场前）安全教育。乙方人员中途有变动，应事先通知甲方，并提供新进场人员名单，对按新进场人员进行进场上岗前（入场前）安全教育。  </w:t>
      </w:r>
    </w:p>
    <w:p w14:paraId="54719EDB">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乙方保证所有作业人员熟知和遵守与本项目有关的各项安全技术操作规程，定期进行安全技术考核，进行安全技术交底，合格者方准上岗操作。</w:t>
      </w:r>
    </w:p>
    <w:p w14:paraId="5B685F9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7、乙方应经常性指导并组织班组经常性开展安全教育、安全检查和整改、安全学习活动，对于甲方组织的安全生产培训，乙方必须派代表参加，并将培训内容在乙方内部及乙方分包单位等进行宣贯且落实到位。</w:t>
      </w:r>
    </w:p>
    <w:p w14:paraId="22B674F9">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乙方仅能在限定的作业区域内作业，在作业过程中不得私自拆除、解除安全防护设备设施，不得违章指挥或强令工人冒险作业，不得强迫工人连续长时间作业，更不得未经甲方允许擅自作业、进入指定禁区及非本工作作业区域。</w:t>
      </w:r>
    </w:p>
    <w:p w14:paraId="1FA41AAD">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乙方在开展动火作业、有限空间作业、高处作业、吊装作业、临时用电作业、动土作业及应急管理部门和有关部门规定的其他危险性较大的作业时，需提前告知甲方有关部门，并严格执行危险作业审批、安全技术交底、风险辨识等作业管理规定，并就上述作业另行制定现场管理及应急处置方案，安排专人进行现场安全生产管理，在具备安全条件，作业人员培训合格的前提下进行作业。同时应遵守相对应的执行危险作业有关的法律法规、管理规定及甲乙双方的规章制度。</w:t>
      </w:r>
    </w:p>
    <w:p w14:paraId="4C845EF4">
      <w:pPr>
        <w:pStyle w:val="11"/>
        <w:keepNext w:val="0"/>
        <w:keepLines w:val="0"/>
        <w:pageBreakBefore w:val="0"/>
        <w:widowControl/>
        <w:tabs>
          <w:tab w:val="left" w:pos="0"/>
        </w:tabs>
        <w:kinsoku/>
        <w:wordWrap/>
        <w:topLinePunct w:val="0"/>
        <w:bidi w:val="0"/>
        <w:spacing w:line="360" w:lineRule="auto"/>
        <w:ind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Cs w:val="20"/>
          <w:highlight w:val="none"/>
        </w:rPr>
        <w:t>10、</w:t>
      </w:r>
      <w:r>
        <w:rPr>
          <w:rFonts w:hint="eastAsia" w:ascii="仿宋_GB2312" w:hAnsi="仿宋_GB2312" w:eastAsia="仿宋_GB2312" w:cs="仿宋_GB2312"/>
          <w:kern w:val="0"/>
          <w:sz w:val="20"/>
          <w:szCs w:val="20"/>
          <w:highlight w:val="none"/>
          <w:lang w:val="en-US" w:eastAsia="zh-CN" w:bidi="ar-SA"/>
        </w:rPr>
        <w:t>乙方在涉及有限空间的作业过程中，现场配置警示牌，配备1至2名安全监护人员，落实作业过程旁站监督；现场管理人员、作业人员必须是经培训合格的，并对作业人员进行安全交底，经交底人和作业人员签字确认；现场必须落实相应的管控措施，包括但不限于：配备通风设备、气体检测设备、防护设施等、采取生物预警措施；应制定现场安全应急预案，明确紧急情况下信息速报、施救程序等现场应急处置要求，杜绝盲目施救。</w:t>
      </w:r>
    </w:p>
    <w:p w14:paraId="3EC907FE">
      <w:pPr>
        <w:pStyle w:val="11"/>
        <w:keepNext w:val="0"/>
        <w:keepLines w:val="0"/>
        <w:pageBreakBefore w:val="0"/>
        <w:widowControl/>
        <w:tabs>
          <w:tab w:val="left" w:pos="0"/>
        </w:tabs>
        <w:kinsoku/>
        <w:wordWrap/>
        <w:topLinePunct w:val="0"/>
        <w:bidi w:val="0"/>
        <w:spacing w:line="360" w:lineRule="auto"/>
        <w:ind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14:paraId="16BBEB53">
      <w:pPr>
        <w:pStyle w:val="11"/>
        <w:keepNext w:val="0"/>
        <w:keepLines w:val="0"/>
        <w:pageBreakBefore w:val="0"/>
        <w:widowControl/>
        <w:tabs>
          <w:tab w:val="left" w:pos="0"/>
        </w:tabs>
        <w:kinsoku/>
        <w:wordWrap/>
        <w:topLinePunct w:val="0"/>
        <w:bidi w:val="0"/>
        <w:spacing w:line="360" w:lineRule="auto"/>
        <w:ind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乙方作业期间，要对作业场所所涉及的高低压架空线路、通信设备设施和甲方各类资产进行保护，如遇情况不明或突发情况时应立即停止施工，采取保护措施，并及时向甲方汇报。</w:t>
      </w:r>
    </w:p>
    <w:p w14:paraId="03DC4591">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施工现场的消防安全管理应由乙方负责，乙方应参照《建设工程施工现场消防安全技术规范》（GB-50720）的要求，制定用火、用电、使用易燃易爆材料等各项消防安全生产管理制度和操作规程，配备消防设施。</w:t>
      </w:r>
    </w:p>
    <w:p w14:paraId="60890628">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13、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14:paraId="68ED12BA">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14、乙方在任何时候都应采取各种合理的预防措施，防止发生任何违法、违禁、暴力或妨碍治安的行为。</w:t>
      </w:r>
    </w:p>
    <w:p w14:paraId="477CA191">
      <w:pPr>
        <w:pStyle w:val="11"/>
        <w:keepNext w:val="0"/>
        <w:keepLines w:val="0"/>
        <w:pageBreakBefore w:val="0"/>
        <w:widowControl/>
        <w:tabs>
          <w:tab w:val="left" w:pos="0"/>
        </w:tabs>
        <w:kinsoku/>
        <w:wordWrap/>
        <w:topLinePunct w:val="0"/>
        <w:bidi w:val="0"/>
        <w:spacing w:line="360" w:lineRule="auto"/>
        <w:ind w:firstLineChars="200"/>
        <w:jc w:val="left"/>
        <w:rPr>
          <w:rFonts w:hint="eastAsia" w:ascii="仿宋_GB2312" w:hAnsi="仿宋_GB2312" w:eastAsia="仿宋_GB2312" w:cs="仿宋_GB2312"/>
          <w:szCs w:val="20"/>
          <w:highlight w:val="none"/>
        </w:rPr>
      </w:pPr>
      <w:r>
        <w:rPr>
          <w:rFonts w:hint="eastAsia" w:ascii="仿宋_GB2312" w:hAnsi="仿宋_GB2312" w:eastAsia="仿宋_GB2312" w:cs="仿宋_GB2312"/>
          <w:szCs w:val="20"/>
          <w:highlight w:val="none"/>
        </w:rPr>
        <w:t xml:space="preserve">15、乙方必须按规定提取和使用安全技术措施经费，为作业人员提供符合国家标准或行业标准的劳动防护用品，并督促、教育作业人员按照使用规则佩戴、使用。 </w:t>
      </w:r>
    </w:p>
    <w:p w14:paraId="746B9E4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16、对甲方人员违章指挥或者可能危及人身安全、财产损失的指挥，乙方有权拒绝。 </w:t>
      </w:r>
    </w:p>
    <w:p w14:paraId="67F9585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17、乙方不得实施违反安全法律法规和安全生产规章制度以及甲方相关安全生产管理相关制度的行为。</w:t>
      </w:r>
    </w:p>
    <w:p w14:paraId="78E70836">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u w:val="none"/>
        </w:rPr>
      </w:pPr>
      <w:r>
        <w:rPr>
          <w:rFonts w:hint="eastAsia" w:ascii="仿宋_GB2312" w:hAnsi="仿宋_GB2312" w:eastAsia="仿宋_GB2312" w:cs="仿宋_GB2312"/>
          <w:sz w:val="20"/>
          <w:szCs w:val="20"/>
          <w:highlight w:val="none"/>
        </w:rPr>
        <w:t>18、其他约定：</w:t>
      </w:r>
      <w:r>
        <w:rPr>
          <w:rFonts w:hint="eastAsia" w:ascii="仿宋_GB2312" w:hAnsi="仿宋_GB2312" w:eastAsia="仿宋_GB2312" w:cs="仿宋_GB2312"/>
          <w:b w:val="0"/>
          <w:bCs w:val="0"/>
          <w:sz w:val="20"/>
          <w:szCs w:val="20"/>
          <w:highlight w:val="none"/>
          <w:u w:val="none"/>
        </w:rPr>
        <w:t xml:space="preserve">无 </w:t>
      </w:r>
    </w:p>
    <w:p w14:paraId="16F93FFE">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四、违约和赔偿责任</w:t>
      </w:r>
    </w:p>
    <w:p w14:paraId="2CE4B359">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1、乙方违反安全生产管理规定违章作业，每发生一次，甲方有权视情况要求乙方支付违约金</w:t>
      </w:r>
      <w:r>
        <w:rPr>
          <w:rFonts w:hint="eastAsia" w:ascii="仿宋_GB2312" w:hAnsi="仿宋_GB2312" w:eastAsia="仿宋_GB2312" w:cs="仿宋_GB2312"/>
          <w:sz w:val="20"/>
          <w:szCs w:val="20"/>
          <w:highlight w:val="none"/>
          <w:u w:val="none"/>
          <w:lang w:val="en-US" w:eastAsia="zh-CN"/>
        </w:rPr>
        <w:t>2仟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sz w:val="20"/>
          <w:szCs w:val="20"/>
          <w:highlight w:val="none"/>
        </w:rPr>
        <w:t>，同时按相关合同及安全生产管理规定要求乙方承担相应责任，且乙方应按要求整改到位，否则甲方有权解除合同。因上述原因所造成的经济损失和一切后果由乙方承担。</w:t>
      </w:r>
    </w:p>
    <w:p w14:paraId="2CADAA6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2、乙方违反本合同约定条款的，危险作业安全措施落实不到位，每发生一次，甲方有权视情况要求乙方支付违约金</w:t>
      </w:r>
      <w:r>
        <w:rPr>
          <w:rFonts w:hint="eastAsia" w:ascii="仿宋_GB2312" w:hAnsi="仿宋_GB2312" w:eastAsia="仿宋_GB2312" w:cs="仿宋_GB2312"/>
          <w:sz w:val="20"/>
          <w:szCs w:val="20"/>
          <w:highlight w:val="none"/>
          <w:u w:val="none"/>
          <w:lang w:val="en-US" w:eastAsia="zh-CN"/>
        </w:rPr>
        <w:t>5仟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sz w:val="20"/>
          <w:szCs w:val="20"/>
          <w:highlight w:val="none"/>
        </w:rPr>
        <w:t>，同时按相关合同及安全生产管理规定要求乙方承担相应责任，且乙方应按要求整改到位，否则甲方有权解除合同。因上述原因所造成的经济损失和一切后果由乙方承担。</w:t>
      </w:r>
    </w:p>
    <w:p w14:paraId="11C1FAD3">
      <w:pPr>
        <w:pStyle w:val="11"/>
        <w:keepNext w:val="0"/>
        <w:keepLines w:val="0"/>
        <w:pageBreakBefore w:val="0"/>
        <w:widowControl/>
        <w:kinsoku/>
        <w:wordWrap/>
        <w:overflowPunct/>
        <w:topLinePunct w:val="0"/>
        <w:autoSpaceDE/>
        <w:autoSpaceDN/>
        <w:bidi w:val="0"/>
        <w:adjustRightInd/>
        <w:snapToGrid w:val="0"/>
        <w:spacing w:line="360" w:lineRule="auto"/>
        <w:ind w:firstLineChars="200"/>
        <w:jc w:val="left"/>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3、本项目作业场所因安全文明施工问题被居民投诉经核实情况属实的，乙方应向甲方支付违约金每次</w:t>
      </w:r>
      <w:r>
        <w:rPr>
          <w:rFonts w:hint="eastAsia" w:ascii="仿宋_GB2312" w:hAnsi="仿宋_GB2312" w:eastAsia="仿宋_GB2312" w:cs="仿宋_GB2312"/>
          <w:kern w:val="0"/>
          <w:sz w:val="20"/>
          <w:szCs w:val="20"/>
          <w:highlight w:val="none"/>
          <w:lang w:val="en-US" w:eastAsia="zh-CN"/>
        </w:rPr>
        <w:t>3</w:t>
      </w:r>
      <w:r>
        <w:rPr>
          <w:rFonts w:hint="eastAsia" w:ascii="仿宋_GB2312" w:hAnsi="仿宋_GB2312" w:eastAsia="仿宋_GB2312" w:cs="仿宋_GB2312"/>
          <w:sz w:val="20"/>
          <w:szCs w:val="20"/>
          <w:highlight w:val="none"/>
          <w:u w:val="none"/>
          <w:lang w:val="en-US" w:eastAsia="zh-CN"/>
        </w:rPr>
        <w:t>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kern w:val="0"/>
          <w:sz w:val="20"/>
          <w:szCs w:val="20"/>
          <w:highlight w:val="none"/>
        </w:rPr>
        <w:t>，同时应按甲方或相关单位要求整改到位。</w:t>
      </w:r>
    </w:p>
    <w:p w14:paraId="11392A84">
      <w:pPr>
        <w:pStyle w:val="11"/>
        <w:keepNext w:val="0"/>
        <w:keepLines w:val="0"/>
        <w:pageBreakBefore w:val="0"/>
        <w:widowControl/>
        <w:kinsoku/>
        <w:wordWrap/>
        <w:overflowPunct/>
        <w:topLinePunct w:val="0"/>
        <w:autoSpaceDE/>
        <w:autoSpaceDN/>
        <w:bidi w:val="0"/>
        <w:adjustRightInd/>
        <w:snapToGrid w:val="0"/>
        <w:spacing w:line="360" w:lineRule="auto"/>
        <w:ind w:firstLineChars="200"/>
        <w:jc w:val="left"/>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4、本项目作业场所因安全文明施工问题被媒体曝光的，乙方应向甲方支付违约金每次</w:t>
      </w:r>
      <w:r>
        <w:rPr>
          <w:rFonts w:hint="eastAsia" w:ascii="仿宋_GB2312" w:hAnsi="仿宋_GB2312" w:eastAsia="仿宋_GB2312" w:cs="仿宋_GB2312"/>
          <w:kern w:val="0"/>
          <w:sz w:val="20"/>
          <w:szCs w:val="20"/>
          <w:highlight w:val="none"/>
          <w:u w:val="none"/>
          <w:lang w:val="en-US" w:eastAsia="zh-CN"/>
        </w:rPr>
        <w:t>5</w:t>
      </w:r>
      <w:r>
        <w:rPr>
          <w:rFonts w:hint="eastAsia" w:ascii="仿宋_GB2312" w:hAnsi="仿宋_GB2312" w:eastAsia="仿宋_GB2312" w:cs="仿宋_GB2312"/>
          <w:sz w:val="20"/>
          <w:szCs w:val="20"/>
          <w:highlight w:val="none"/>
          <w:u w:val="none"/>
          <w:lang w:val="en-US" w:eastAsia="zh-CN"/>
        </w:rPr>
        <w:t>仟</w:t>
      </w:r>
      <w:r>
        <w:rPr>
          <w:rFonts w:hint="eastAsia" w:ascii="仿宋_GB2312" w:hAnsi="仿宋_GB2312" w:eastAsia="仿宋_GB2312" w:cs="仿宋_GB2312"/>
          <w:kern w:val="0"/>
          <w:sz w:val="20"/>
          <w:szCs w:val="20"/>
          <w:highlight w:val="none"/>
          <w:u w:val="none"/>
        </w:rPr>
        <w:t>元</w:t>
      </w:r>
      <w:r>
        <w:rPr>
          <w:rFonts w:hint="eastAsia" w:ascii="仿宋_GB2312" w:hAnsi="仿宋_GB2312" w:eastAsia="仿宋_GB2312" w:cs="仿宋_GB2312"/>
          <w:kern w:val="0"/>
          <w:sz w:val="20"/>
          <w:szCs w:val="20"/>
          <w:highlight w:val="none"/>
        </w:rPr>
        <w:t>，同时应按甲方或相关单位要求整改到位。</w:t>
      </w:r>
    </w:p>
    <w:p w14:paraId="2738C993">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5、本项目作业场所因安全文明施工问题被相关主管部门检查发现存在问题或挂牌通报的，乙方应向甲方支付违约金每次</w:t>
      </w:r>
      <w:r>
        <w:rPr>
          <w:rFonts w:hint="eastAsia" w:ascii="仿宋_GB2312" w:hAnsi="仿宋_GB2312" w:eastAsia="仿宋_GB2312" w:cs="仿宋_GB2312"/>
          <w:sz w:val="20"/>
          <w:szCs w:val="20"/>
          <w:highlight w:val="none"/>
          <w:u w:val="none"/>
          <w:lang w:val="en-US" w:eastAsia="zh-CN"/>
        </w:rPr>
        <w:t>7仟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sz w:val="20"/>
          <w:szCs w:val="20"/>
          <w:highlight w:val="none"/>
        </w:rPr>
        <w:t>，同时按要求整改到位。如因此被行政处罚的，罚金由乙方支付，同时乙方应赔偿甲方因此造成的全部损失。</w:t>
      </w:r>
    </w:p>
    <w:p w14:paraId="63F10492">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乙方自行负责本项目的作业、消防、安全生产、经营、环保、卫生及相关人员的劳动、人身安全等，知悉安全法律法规的规定；本项目作业场所发生安全责任事故（事件）的，由乙方承担全部赔偿责任和法律责任（包括但不限于因此导致的甲方人员、乙方人员或第三方人员伤亡、造成甲方或第三方企业财产损失、经济损失的赔偿责任），乙方法定代表人、实际控制人、实际负责人为第一责任人，承担相对应的法律责任。同时，甲方有权要求乙方支付本项目合同（暂定）总价</w:t>
      </w:r>
      <w:r>
        <w:rPr>
          <w:rFonts w:hint="eastAsia" w:ascii="仿宋_GB2312" w:hAnsi="仿宋_GB2312" w:eastAsia="仿宋_GB2312" w:cs="仿宋_GB2312"/>
          <w:sz w:val="20"/>
          <w:szCs w:val="20"/>
          <w:highlight w:val="none"/>
          <w:u w:val="none"/>
        </w:rPr>
        <w:t xml:space="preserve">1.5% </w:t>
      </w:r>
      <w:r>
        <w:rPr>
          <w:rFonts w:hint="eastAsia" w:ascii="仿宋_GB2312" w:hAnsi="仿宋_GB2312" w:eastAsia="仿宋_GB2312" w:cs="仿宋_GB2312"/>
          <w:sz w:val="20"/>
          <w:szCs w:val="20"/>
          <w:highlight w:val="none"/>
        </w:rPr>
        <w:t>的违约金，甲方有权视事故（事件）严重程度单方面解除合同。</w:t>
      </w:r>
    </w:p>
    <w:p w14:paraId="65D8E94E">
      <w:pPr>
        <w:pStyle w:val="11"/>
        <w:keepNext w:val="0"/>
        <w:keepLines w:val="0"/>
        <w:pageBreakBefore w:val="0"/>
        <w:widowControl/>
        <w:kinsoku/>
        <w:wordWrap/>
        <w:topLinePunct w:val="0"/>
        <w:bidi w:val="0"/>
        <w:spacing w:line="360" w:lineRule="auto"/>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7、甲乙双方确认，因本项目签订的其他合同与本协议约定不一致的，以有利于甲方的条款执行。</w:t>
      </w:r>
    </w:p>
    <w:p w14:paraId="0C7F7767">
      <w:pPr>
        <w:pStyle w:val="11"/>
        <w:keepNext w:val="0"/>
        <w:keepLines w:val="0"/>
        <w:pageBreakBefore w:val="0"/>
        <w:widowControl/>
        <w:kinsoku/>
        <w:wordWrap/>
        <w:topLinePunct w:val="0"/>
        <w:bidi w:val="0"/>
        <w:spacing w:line="360" w:lineRule="auto"/>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8、上述所涉损失包括但不限于诉讼仲裁费、律师费、赔偿费、财产保全费、评估鉴定费、执行费、拍卖费、差旅费等。</w:t>
      </w:r>
    </w:p>
    <w:p w14:paraId="45099275">
      <w:pPr>
        <w:pStyle w:val="11"/>
        <w:keepNext w:val="0"/>
        <w:keepLines w:val="0"/>
        <w:pageBreakBefore w:val="0"/>
        <w:widowControl/>
        <w:kinsoku/>
        <w:wordWrap/>
        <w:topLinePunct w:val="0"/>
        <w:bidi w:val="0"/>
        <w:spacing w:line="360" w:lineRule="auto"/>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9、其他约定：</w:t>
      </w:r>
      <w:r>
        <w:rPr>
          <w:rFonts w:hint="eastAsia" w:ascii="仿宋_GB2312" w:hAnsi="仿宋_GB2312" w:eastAsia="仿宋_GB2312" w:cs="仿宋_GB2312"/>
          <w:b w:val="0"/>
          <w:bCs w:val="0"/>
          <w:sz w:val="20"/>
          <w:szCs w:val="20"/>
          <w:highlight w:val="none"/>
          <w:u w:val="none"/>
        </w:rPr>
        <w:t xml:space="preserve">无 </w:t>
      </w:r>
    </w:p>
    <w:p w14:paraId="4F40D58A">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五、其他约定</w:t>
      </w:r>
    </w:p>
    <w:p w14:paraId="7030BD46">
      <w:pPr>
        <w:pStyle w:val="11"/>
        <w:keepNext w:val="0"/>
        <w:keepLines w:val="0"/>
        <w:pageBreakBefore w:val="0"/>
        <w:widowControl/>
        <w:kinsoku/>
        <w:wordWrap/>
        <w:overflowPunct/>
        <w:topLinePunct w:val="0"/>
        <w:autoSpaceDE/>
        <w:autoSpaceDN/>
        <w:bidi w:val="0"/>
        <w:adjustRightInd/>
        <w:snapToGrid w:val="0"/>
        <w:spacing w:line="360" w:lineRule="auto"/>
        <w:ind w:firstLineChars="200"/>
        <w:jc w:val="left"/>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1、甲、乙双方应严格履行安全生产管理职责，在本项目作业区域内发生的伤亡、火灾、交通、治安等各类事故（事件）的，甲乙双方应全力做好抢救工作。</w:t>
      </w:r>
    </w:p>
    <w:p w14:paraId="390DAE60">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2、本协议作为本项目工程合同或项目合同的附件。</w:t>
      </w:r>
    </w:p>
    <w:p w14:paraId="0BA82412">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3、本合同非任何一方的格式合同，因合同及合同有关事项发生的争议，应首先进行友好协商，协商不成的，各方均同意按下列第</w:t>
      </w:r>
      <w:r>
        <w:rPr>
          <w:rFonts w:hint="eastAsia" w:ascii="仿宋_GB2312" w:hAnsi="仿宋_GB2312" w:eastAsia="仿宋_GB2312" w:cs="仿宋_GB2312"/>
          <w:sz w:val="20"/>
          <w:szCs w:val="20"/>
          <w:highlight w:val="none"/>
          <w:u w:val="none"/>
        </w:rPr>
        <w:t>（1）</w:t>
      </w:r>
      <w:r>
        <w:rPr>
          <w:rFonts w:hint="eastAsia" w:ascii="仿宋_GB2312" w:hAnsi="仿宋_GB2312" w:eastAsia="仿宋_GB2312" w:cs="仿宋_GB2312"/>
          <w:sz w:val="20"/>
          <w:szCs w:val="20"/>
          <w:highlight w:val="none"/>
        </w:rPr>
        <w:t xml:space="preserve"> 种方式解决：（1）向</w:t>
      </w:r>
      <w:r>
        <w:rPr>
          <w:rFonts w:hint="eastAsia" w:ascii="仿宋_GB2312" w:hAnsi="仿宋_GB2312" w:eastAsia="仿宋_GB2312" w:cs="仿宋_GB2312"/>
          <w:sz w:val="20"/>
          <w:szCs w:val="20"/>
          <w:highlight w:val="none"/>
          <w:u w:val="none"/>
        </w:rPr>
        <w:t xml:space="preserve">  福州 </w:t>
      </w:r>
      <w:r>
        <w:rPr>
          <w:rFonts w:hint="eastAsia" w:ascii="仿宋_GB2312" w:hAnsi="仿宋_GB2312" w:eastAsia="仿宋_GB2312" w:cs="仿宋_GB2312"/>
          <w:sz w:val="20"/>
          <w:szCs w:val="20"/>
          <w:highlight w:val="none"/>
        </w:rPr>
        <w:t>仲裁委员会申请仲裁；（2）向</w:t>
      </w:r>
      <w:r>
        <w:rPr>
          <w:rFonts w:hint="eastAsia" w:ascii="仿宋_GB2312" w:hAnsi="仿宋_GB2312" w:eastAsia="仿宋_GB2312" w:cs="仿宋_GB2312"/>
          <w:sz w:val="20"/>
          <w:szCs w:val="20"/>
          <w:highlight w:val="none"/>
          <w:u w:val="none"/>
        </w:rPr>
        <w:t xml:space="preserve"> 本项目所在地有管辖权的 </w:t>
      </w:r>
      <w:r>
        <w:rPr>
          <w:rFonts w:hint="eastAsia" w:ascii="仿宋_GB2312" w:hAnsi="仿宋_GB2312" w:eastAsia="仿宋_GB2312" w:cs="仿宋_GB2312"/>
          <w:sz w:val="20"/>
          <w:szCs w:val="20"/>
          <w:highlight w:val="none"/>
        </w:rPr>
        <w:t>人民法院起诉。</w:t>
      </w:r>
    </w:p>
    <w:p w14:paraId="1E5F5220">
      <w:pPr>
        <w:pStyle w:val="11"/>
        <w:ind w:firstLine="480"/>
        <w:jc w:val="both"/>
        <w:rPr>
          <w:rFonts w:hint="eastAsia" w:ascii="仿宋_GB2312" w:hAnsi="仿宋_GB2312" w:eastAsia="仿宋_GB2312" w:cs="仿宋_GB2312"/>
          <w:highlight w:val="none"/>
          <w:lang w:val="en-US" w:eastAsia="zh-CN"/>
        </w:rPr>
      </w:pPr>
    </w:p>
    <w:p w14:paraId="52DB3202">
      <w:pPr>
        <w:pStyle w:val="11"/>
        <w:rPr>
          <w:highlight w:val="none"/>
        </w:rPr>
      </w:pPr>
      <w:r>
        <w:rPr>
          <w:rFonts w:ascii="仿宋_GB2312" w:hAnsi="仿宋_GB2312" w:eastAsia="仿宋_GB2312" w:cs="仿宋_GB2312"/>
          <w:highlight w:val="none"/>
        </w:rPr>
        <w:br w:type="page"/>
      </w:r>
    </w:p>
    <w:p w14:paraId="3F636CAE">
      <w:pPr>
        <w:pStyle w:val="11"/>
        <w:jc w:val="center"/>
        <w:outlineLvl w:val="1"/>
        <w:rPr>
          <w:highlight w:val="none"/>
        </w:rPr>
      </w:pPr>
      <w:bookmarkStart w:id="18" w:name="_Toc1934432868_WPSOffice_Level1"/>
      <w:r>
        <w:rPr>
          <w:rFonts w:ascii="仿宋_GB2312" w:hAnsi="仿宋_GB2312" w:eastAsia="仿宋_GB2312" w:cs="仿宋_GB2312"/>
          <w:b/>
          <w:sz w:val="36"/>
          <w:highlight w:val="none"/>
        </w:rPr>
        <w:t xml:space="preserve">第五章 </w:t>
      </w:r>
      <w:r>
        <w:rPr>
          <w:rFonts w:hint="eastAsia" w:ascii="仿宋_GB2312" w:hAnsi="仿宋_GB2312" w:eastAsia="仿宋_GB2312" w:cs="仿宋_GB2312"/>
          <w:b/>
          <w:sz w:val="36"/>
          <w:highlight w:val="none"/>
          <w:lang w:eastAsia="zh-CN"/>
        </w:rPr>
        <w:t>国有企业</w:t>
      </w:r>
      <w:r>
        <w:rPr>
          <w:rFonts w:ascii="仿宋_GB2312" w:hAnsi="仿宋_GB2312" w:eastAsia="仿宋_GB2312" w:cs="仿宋_GB2312"/>
          <w:b/>
          <w:sz w:val="36"/>
          <w:highlight w:val="none"/>
        </w:rPr>
        <w:t>采购合同</w:t>
      </w:r>
      <w:bookmarkEnd w:id="18"/>
    </w:p>
    <w:p w14:paraId="6606A8DF">
      <w:pPr>
        <w:pStyle w:val="11"/>
        <w:jc w:val="center"/>
        <w:outlineLvl w:val="2"/>
        <w:rPr>
          <w:highlight w:val="none"/>
        </w:rPr>
      </w:pPr>
      <w:r>
        <w:rPr>
          <w:rFonts w:ascii="仿宋_GB2312" w:hAnsi="仿宋_GB2312" w:eastAsia="仿宋_GB2312" w:cs="仿宋_GB2312"/>
          <w:b/>
          <w:sz w:val="28"/>
          <w:highlight w:val="none"/>
        </w:rPr>
        <w:t>参考文本</w:t>
      </w:r>
    </w:p>
    <w:p w14:paraId="498AA916">
      <w:pPr>
        <w:pStyle w:val="11"/>
        <w:jc w:val="left"/>
        <w:rPr>
          <w:highlight w:val="none"/>
        </w:rPr>
      </w:pPr>
      <w:r>
        <w:rPr>
          <w:rFonts w:ascii="仿宋_GB2312" w:hAnsi="仿宋_GB2312" w:eastAsia="仿宋_GB2312" w:cs="仿宋_GB2312"/>
          <w:b/>
          <w:sz w:val="48"/>
          <w:highlight w:val="none"/>
        </w:rPr>
        <w:t xml:space="preserve"> </w:t>
      </w:r>
      <w:r>
        <w:rPr>
          <w:rFonts w:ascii="仿宋_GB2312" w:hAnsi="仿宋_GB2312" w:eastAsia="仿宋_GB2312" w:cs="仿宋_GB2312"/>
          <w:highlight w:val="none"/>
        </w:rPr>
        <w:t>合同编号：</w:t>
      </w:r>
    </w:p>
    <w:p w14:paraId="1A7BED97">
      <w:pPr>
        <w:pStyle w:val="11"/>
        <w:spacing w:line="360" w:lineRule="auto"/>
        <w:jc w:val="center"/>
        <w:outlineLvl w:val="9"/>
        <w:rPr>
          <w:highlight w:val="none"/>
        </w:rPr>
      </w:pPr>
      <w:r>
        <w:rPr>
          <w:rFonts w:ascii="仿宋_GB2312" w:hAnsi="仿宋_GB2312" w:eastAsia="仿宋_GB2312" w:cs="仿宋_GB2312"/>
          <w:b/>
          <w:sz w:val="36"/>
          <w:highlight w:val="none"/>
        </w:rPr>
        <w:t xml:space="preserve"> </w:t>
      </w:r>
      <w:r>
        <w:rPr>
          <w:rFonts w:hint="eastAsia" w:ascii="仿宋_GB2312" w:hAnsi="仿宋_GB2312" w:eastAsia="仿宋_GB2312" w:cs="仿宋_GB2312"/>
          <w:b/>
          <w:sz w:val="36"/>
          <w:highlight w:val="none"/>
          <w:lang w:eastAsia="zh-CN"/>
        </w:rPr>
        <w:t>国有企业</w:t>
      </w:r>
      <w:r>
        <w:rPr>
          <w:rFonts w:ascii="仿宋_GB2312" w:hAnsi="仿宋_GB2312" w:eastAsia="仿宋_GB2312" w:cs="仿宋_GB2312"/>
          <w:b/>
          <w:sz w:val="36"/>
          <w:highlight w:val="none"/>
        </w:rPr>
        <w:t>采购合同（服务类）</w:t>
      </w:r>
    </w:p>
    <w:p w14:paraId="1EF767E5">
      <w:pPr>
        <w:pStyle w:val="11"/>
        <w:spacing w:line="360" w:lineRule="auto"/>
        <w:jc w:val="center"/>
        <w:outlineLvl w:val="9"/>
        <w:rPr>
          <w:highlight w:val="none"/>
        </w:rPr>
      </w:pPr>
      <w:r>
        <w:rPr>
          <w:rFonts w:ascii="仿宋_GB2312" w:hAnsi="仿宋_GB2312" w:eastAsia="仿宋_GB2312" w:cs="仿宋_GB2312"/>
          <w:b/>
          <w:sz w:val="24"/>
          <w:highlight w:val="none"/>
        </w:rPr>
        <w:t>编制说明</w:t>
      </w:r>
      <w:r>
        <w:rPr>
          <w:highlight w:val="none"/>
        </w:rPr>
        <w:br w:type="textWrapping"/>
      </w:r>
    </w:p>
    <w:p w14:paraId="4A51FB29">
      <w:pPr>
        <w:pStyle w:val="11"/>
        <w:spacing w:line="360" w:lineRule="auto"/>
        <w:jc w:val="left"/>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1.签订合同应遵守《中华人民共和国民法典》等法律法规及其他有关规定。</w:t>
      </w:r>
    </w:p>
    <w:p w14:paraId="06074850">
      <w:pPr>
        <w:pStyle w:val="11"/>
        <w:spacing w:line="360" w:lineRule="auto"/>
        <w:jc w:val="left"/>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2.签订合同时，采购人与</w:t>
      </w:r>
      <w:r>
        <w:rPr>
          <w:rFonts w:hint="eastAsia" w:ascii="仿宋_GB2312" w:hAnsi="仿宋_GB2312" w:eastAsia="仿宋_GB2312" w:cs="仿宋_GB2312"/>
          <w:b/>
          <w:sz w:val="24"/>
          <w:highlight w:val="none"/>
          <w:lang w:eastAsia="zh-CN"/>
        </w:rPr>
        <w:t>成交供应商</w:t>
      </w:r>
      <w:r>
        <w:rPr>
          <w:rFonts w:hint="eastAsia" w:ascii="仿宋_GB2312" w:hAnsi="仿宋_GB2312" w:eastAsia="仿宋_GB2312" w:cs="仿宋_GB2312"/>
          <w:b/>
          <w:sz w:val="24"/>
          <w:highlight w:val="none"/>
        </w:rPr>
        <w:t>应结合采购文件规定填列相应内容。采购文件已有约定的，双方均不得对约定进行变更或调整；采购文件未作规定的，双方可通过友好协商进行约定。</w:t>
      </w:r>
    </w:p>
    <w:p w14:paraId="6ECFA11F">
      <w:pPr>
        <w:pStyle w:val="11"/>
        <w:spacing w:line="360" w:lineRule="auto"/>
        <w:jc w:val="left"/>
        <w:outlineLvl w:val="9"/>
        <w:rPr>
          <w:highlight w:val="none"/>
        </w:rPr>
      </w:pPr>
    </w:p>
    <w:p w14:paraId="555073E8">
      <w:pPr>
        <w:pStyle w:val="11"/>
        <w:spacing w:line="360" w:lineRule="auto"/>
        <w:ind w:left="0"/>
        <w:jc w:val="left"/>
        <w:rPr>
          <w:highlight w:val="none"/>
        </w:rPr>
      </w:pPr>
      <w:r>
        <w:rPr>
          <w:rFonts w:ascii="仿宋_GB2312" w:hAnsi="仿宋_GB2312" w:eastAsia="仿宋_GB2312" w:cs="仿宋_GB2312"/>
          <w:highlight w:val="none"/>
        </w:rPr>
        <w:t>甲方：</w:t>
      </w:r>
    </w:p>
    <w:p w14:paraId="46E8A9CE">
      <w:pPr>
        <w:pStyle w:val="11"/>
        <w:spacing w:line="360" w:lineRule="auto"/>
        <w:jc w:val="left"/>
        <w:rPr>
          <w:highlight w:val="none"/>
        </w:rPr>
      </w:pPr>
      <w:r>
        <w:rPr>
          <w:rFonts w:ascii="仿宋_GB2312" w:hAnsi="仿宋_GB2312" w:eastAsia="仿宋_GB2312" w:cs="仿宋_GB2312"/>
          <w:highlight w:val="none"/>
        </w:rPr>
        <w:t>住所地：</w:t>
      </w:r>
      <w:r>
        <w:rPr>
          <w:rFonts w:hint="eastAsia" w:ascii="仿宋_GB2312" w:hAnsi="仿宋_GB2312" w:eastAsia="仿宋_GB2312" w:cs="仿宋_GB2312"/>
          <w:highlight w:val="none"/>
          <w:u w:val="single"/>
          <w:lang w:val="en-US" w:eastAsia="zh-CN"/>
        </w:rPr>
        <w:t xml:space="preserve">               </w:t>
      </w:r>
    </w:p>
    <w:p w14:paraId="793B1227">
      <w:pPr>
        <w:pStyle w:val="11"/>
        <w:spacing w:line="360" w:lineRule="auto"/>
        <w:jc w:val="left"/>
        <w:rPr>
          <w:highlight w:val="none"/>
        </w:rPr>
      </w:pPr>
      <w:r>
        <w:rPr>
          <w:rFonts w:ascii="仿宋_GB2312" w:hAnsi="仿宋_GB2312" w:eastAsia="仿宋_GB2312" w:cs="仿宋_GB2312"/>
          <w:highlight w:val="none"/>
        </w:rPr>
        <w:t>联系人：</w:t>
      </w:r>
      <w:r>
        <w:rPr>
          <w:rFonts w:hint="eastAsia" w:ascii="仿宋_GB2312" w:hAnsi="仿宋_GB2312" w:eastAsia="仿宋_GB2312" w:cs="仿宋_GB2312"/>
          <w:highlight w:val="none"/>
          <w:u w:val="single"/>
          <w:lang w:val="en-US" w:eastAsia="zh-CN"/>
        </w:rPr>
        <w:t xml:space="preserve">               </w:t>
      </w:r>
    </w:p>
    <w:p w14:paraId="6B851781">
      <w:pPr>
        <w:pStyle w:val="11"/>
        <w:spacing w:line="360" w:lineRule="auto"/>
        <w:jc w:val="left"/>
        <w:rPr>
          <w:highlight w:val="none"/>
        </w:rPr>
      </w:pPr>
      <w:r>
        <w:rPr>
          <w:rFonts w:ascii="仿宋_GB2312" w:hAnsi="仿宋_GB2312" w:eastAsia="仿宋_GB2312" w:cs="仿宋_GB2312"/>
          <w:highlight w:val="none"/>
        </w:rPr>
        <w:t>联系电话：</w:t>
      </w:r>
      <w:r>
        <w:rPr>
          <w:rFonts w:hint="eastAsia" w:ascii="仿宋_GB2312" w:hAnsi="仿宋_GB2312" w:eastAsia="仿宋_GB2312" w:cs="仿宋_GB2312"/>
          <w:highlight w:val="none"/>
          <w:u w:val="single"/>
          <w:lang w:val="en-US" w:eastAsia="zh-CN"/>
        </w:rPr>
        <w:t xml:space="preserve">               </w:t>
      </w:r>
    </w:p>
    <w:p w14:paraId="248A5382">
      <w:pPr>
        <w:pStyle w:val="11"/>
        <w:spacing w:line="360" w:lineRule="auto"/>
        <w:ind w:left="2400" w:hanging="2400" w:hangingChars="1200"/>
        <w:jc w:val="left"/>
        <w:rPr>
          <w:highlight w:val="none"/>
        </w:rPr>
      </w:pPr>
      <w:r>
        <w:rPr>
          <w:rFonts w:ascii="仿宋_GB2312" w:hAnsi="仿宋_GB2312" w:eastAsia="仿宋_GB2312" w:cs="仿宋_GB2312"/>
          <w:highlight w:val="none"/>
        </w:rPr>
        <w:t>电子邮箱：</w:t>
      </w:r>
      <w:r>
        <w:rPr>
          <w:rFonts w:hint="eastAsia" w:ascii="仿宋_GB2312" w:hAnsi="仿宋_GB2312" w:eastAsia="仿宋_GB2312" w:cs="仿宋_GB2312"/>
          <w:highlight w:val="none"/>
          <w:u w:val="single"/>
          <w:lang w:val="en-US" w:eastAsia="zh-CN"/>
        </w:rPr>
        <w:t xml:space="preserve">               </w:t>
      </w:r>
      <w:r>
        <w:rPr>
          <w:highlight w:val="none"/>
        </w:rPr>
        <w:br w:type="textWrapping"/>
      </w:r>
    </w:p>
    <w:p w14:paraId="27DAD84B">
      <w:pPr>
        <w:pStyle w:val="11"/>
        <w:spacing w:line="360" w:lineRule="auto"/>
        <w:ind w:left="0"/>
        <w:jc w:val="left"/>
        <w:rPr>
          <w:highlight w:val="none"/>
        </w:rPr>
      </w:pPr>
      <w:r>
        <w:rPr>
          <w:rFonts w:ascii="仿宋_GB2312" w:hAnsi="仿宋_GB2312" w:eastAsia="仿宋_GB2312" w:cs="仿宋_GB2312"/>
          <w:highlight w:val="none"/>
        </w:rPr>
        <w:t xml:space="preserve"> 乙方：</w:t>
      </w:r>
      <w:r>
        <w:rPr>
          <w:rFonts w:hint="eastAsia" w:ascii="仿宋_GB2312" w:hAnsi="仿宋_GB2312" w:eastAsia="仿宋_GB2312" w:cs="仿宋_GB2312"/>
          <w:highlight w:val="none"/>
          <w:u w:val="single"/>
          <w:lang w:val="en-US" w:eastAsia="zh-CN"/>
        </w:rPr>
        <w:t xml:space="preserve">               </w:t>
      </w:r>
    </w:p>
    <w:p w14:paraId="7C587D55">
      <w:pPr>
        <w:pStyle w:val="11"/>
        <w:spacing w:line="360" w:lineRule="auto"/>
        <w:jc w:val="left"/>
        <w:rPr>
          <w:highlight w:val="none"/>
        </w:rPr>
      </w:pPr>
      <w:r>
        <w:rPr>
          <w:rFonts w:ascii="仿宋_GB2312" w:hAnsi="仿宋_GB2312" w:eastAsia="仿宋_GB2312" w:cs="仿宋_GB2312"/>
          <w:highlight w:val="none"/>
        </w:rPr>
        <w:t xml:space="preserve"> 住所地： </w:t>
      </w:r>
      <w:r>
        <w:rPr>
          <w:rFonts w:hint="eastAsia" w:ascii="仿宋_GB2312" w:hAnsi="仿宋_GB2312" w:eastAsia="仿宋_GB2312" w:cs="仿宋_GB2312"/>
          <w:highlight w:val="none"/>
          <w:u w:val="single"/>
          <w:lang w:val="en-US" w:eastAsia="zh-CN"/>
        </w:rPr>
        <w:t xml:space="preserve">               </w:t>
      </w:r>
    </w:p>
    <w:p w14:paraId="08BF83D4">
      <w:pPr>
        <w:pStyle w:val="11"/>
        <w:spacing w:line="360" w:lineRule="auto"/>
        <w:jc w:val="left"/>
        <w:rPr>
          <w:highlight w:val="none"/>
        </w:rPr>
      </w:pPr>
      <w:r>
        <w:rPr>
          <w:rFonts w:ascii="仿宋_GB2312" w:hAnsi="仿宋_GB2312" w:eastAsia="仿宋_GB2312" w:cs="仿宋_GB2312"/>
          <w:highlight w:val="none"/>
        </w:rPr>
        <w:t xml:space="preserve"> 联系人：</w:t>
      </w:r>
      <w:r>
        <w:rPr>
          <w:rFonts w:hint="eastAsia" w:ascii="仿宋_GB2312" w:hAnsi="仿宋_GB2312" w:eastAsia="仿宋_GB2312" w:cs="仿宋_GB2312"/>
          <w:highlight w:val="none"/>
          <w:u w:val="single"/>
          <w:lang w:val="en-US" w:eastAsia="zh-CN"/>
        </w:rPr>
        <w:t xml:space="preserve">               </w:t>
      </w:r>
    </w:p>
    <w:p w14:paraId="0606AA22">
      <w:pPr>
        <w:pStyle w:val="11"/>
        <w:spacing w:line="360" w:lineRule="auto"/>
        <w:jc w:val="left"/>
        <w:rPr>
          <w:highlight w:val="none"/>
        </w:rPr>
      </w:pPr>
      <w:r>
        <w:rPr>
          <w:rFonts w:ascii="仿宋_GB2312" w:hAnsi="仿宋_GB2312" w:eastAsia="仿宋_GB2312" w:cs="仿宋_GB2312"/>
          <w:highlight w:val="none"/>
        </w:rPr>
        <w:t xml:space="preserve"> 联系电话：</w:t>
      </w:r>
      <w:r>
        <w:rPr>
          <w:rFonts w:hint="eastAsia" w:ascii="仿宋_GB2312" w:hAnsi="仿宋_GB2312" w:eastAsia="仿宋_GB2312" w:cs="仿宋_GB2312"/>
          <w:highlight w:val="none"/>
          <w:u w:val="single"/>
          <w:lang w:val="en-US" w:eastAsia="zh-CN"/>
        </w:rPr>
        <w:t xml:space="preserve">               </w:t>
      </w:r>
    </w:p>
    <w:p w14:paraId="39BF8556">
      <w:pPr>
        <w:pStyle w:val="11"/>
        <w:spacing w:line="360" w:lineRule="auto"/>
        <w:jc w:val="left"/>
        <w:rPr>
          <w:highlight w:val="none"/>
        </w:rPr>
      </w:pPr>
      <w:r>
        <w:rPr>
          <w:rFonts w:ascii="仿宋_GB2312" w:hAnsi="仿宋_GB2312" w:eastAsia="仿宋_GB2312" w:cs="仿宋_GB2312"/>
          <w:highlight w:val="none"/>
        </w:rPr>
        <w:t xml:space="preserve"> 电子邮箱：</w:t>
      </w:r>
      <w:r>
        <w:rPr>
          <w:rFonts w:hint="eastAsia" w:ascii="仿宋_GB2312" w:hAnsi="仿宋_GB2312" w:eastAsia="仿宋_GB2312" w:cs="仿宋_GB2312"/>
          <w:highlight w:val="none"/>
          <w:u w:val="single"/>
          <w:lang w:val="en-US" w:eastAsia="zh-CN"/>
        </w:rPr>
        <w:t xml:space="preserve">               </w:t>
      </w:r>
    </w:p>
    <w:p w14:paraId="6D9A7D02">
      <w:pPr>
        <w:pStyle w:val="11"/>
        <w:spacing w:line="360" w:lineRule="auto"/>
        <w:ind w:firstLineChars="200"/>
        <w:jc w:val="left"/>
        <w:rPr>
          <w:highlight w:val="none"/>
        </w:rPr>
      </w:pPr>
      <w:r>
        <w:rPr>
          <w:rFonts w:ascii="仿宋_GB2312" w:hAnsi="仿宋_GB2312" w:eastAsia="仿宋_GB2312" w:cs="仿宋_GB2312"/>
          <w:highlight w:val="none"/>
        </w:rPr>
        <w:t>根据项目编号为</w:t>
      </w:r>
      <w:r>
        <w:rPr>
          <w:rFonts w:hint="eastAsia" w:ascii="仿宋_GB2312" w:hAnsi="仿宋_GB2312" w:eastAsia="仿宋_GB2312" w:cs="仿宋_GB2312"/>
          <w:highlight w:val="none"/>
          <w:u w:val="single"/>
        </w:rPr>
        <w:t>FSX</w:t>
      </w:r>
      <w:r>
        <w:rPr>
          <w:rFonts w:hint="eastAsia" w:ascii="仿宋_GB2312" w:hAnsi="仿宋_GB2312" w:eastAsia="仿宋_GB2312" w:cs="仿宋_GB2312"/>
          <w:highlight w:val="none"/>
          <w:u w:val="single"/>
          <w:lang w:val="en-US" w:eastAsia="zh-CN"/>
        </w:rPr>
        <w:t>2026004-Y</w:t>
      </w:r>
      <w:r>
        <w:rPr>
          <w:rFonts w:ascii="仿宋_GB2312" w:hAnsi="仿宋_GB2312" w:eastAsia="仿宋_GB2312" w:cs="仿宋_GB2312"/>
          <w:highlight w:val="none"/>
        </w:rPr>
        <w:t>的</w:t>
      </w:r>
      <w:r>
        <w:rPr>
          <w:rFonts w:hint="eastAsia" w:ascii="仿宋_GB2312" w:hAnsi="仿宋_GB2312" w:eastAsia="仿宋_GB2312" w:cs="仿宋_GB2312"/>
          <w:highlight w:val="none"/>
          <w:u w:val="single"/>
          <w:lang w:eastAsia="zh-CN"/>
        </w:rPr>
        <w:t>榕水大厦（福州市鼓楼区东街104号）老旧线路安全隐患年度排查检测</w:t>
      </w:r>
      <w:r>
        <w:rPr>
          <w:rFonts w:ascii="仿宋_GB2312" w:hAnsi="仿宋_GB2312" w:eastAsia="仿宋_GB2312" w:cs="仿宋_GB2312"/>
          <w:highlight w:val="none"/>
          <w:u w:val="single"/>
        </w:rPr>
        <w:t>项目</w:t>
      </w:r>
      <w:r>
        <w:rPr>
          <w:rFonts w:ascii="仿宋_GB2312" w:hAnsi="仿宋_GB2312" w:eastAsia="仿宋_GB2312" w:cs="仿宋_GB2312"/>
          <w:highlight w:val="none"/>
        </w:rPr>
        <w:t>（以下简称：“本项目”）的采购结果，遵循平等、自愿、公平和诚实信用的原则，双方签署本合同，具体内容如下：</w:t>
      </w:r>
    </w:p>
    <w:p w14:paraId="4BF5EFB6">
      <w:pPr>
        <w:pStyle w:val="11"/>
        <w:spacing w:line="360" w:lineRule="auto"/>
        <w:jc w:val="left"/>
        <w:outlineLvl w:val="2"/>
        <w:rPr>
          <w:highlight w:val="none"/>
        </w:rPr>
      </w:pPr>
      <w:r>
        <w:rPr>
          <w:rFonts w:ascii="仿宋_GB2312" w:hAnsi="仿宋_GB2312" w:eastAsia="仿宋_GB2312" w:cs="仿宋_GB2312"/>
          <w:b/>
          <w:sz w:val="24"/>
          <w:highlight w:val="none"/>
        </w:rPr>
        <w:t xml:space="preserve"> 一、合同组成部分</w:t>
      </w:r>
    </w:p>
    <w:p w14:paraId="4DCC9B98">
      <w:pPr>
        <w:pStyle w:val="11"/>
        <w:spacing w:line="360" w:lineRule="auto"/>
        <w:ind w:firstLineChars="200"/>
        <w:jc w:val="left"/>
        <w:rPr>
          <w:highlight w:val="none"/>
        </w:rPr>
      </w:pPr>
      <w:r>
        <w:rPr>
          <w:rFonts w:ascii="仿宋_GB2312" w:hAnsi="仿宋_GB2312" w:eastAsia="仿宋_GB2312" w:cs="仿宋_GB2312"/>
          <w:highlight w:val="none"/>
        </w:rPr>
        <w:t>1.1本合同条款及附件；</w:t>
      </w:r>
    </w:p>
    <w:p w14:paraId="2280F07A">
      <w:pPr>
        <w:pStyle w:val="11"/>
        <w:spacing w:line="360" w:lineRule="auto"/>
        <w:ind w:firstLineChars="200"/>
        <w:jc w:val="left"/>
        <w:rPr>
          <w:highlight w:val="none"/>
        </w:rPr>
      </w:pPr>
      <w:r>
        <w:rPr>
          <w:rFonts w:ascii="仿宋_GB2312" w:hAnsi="仿宋_GB2312" w:eastAsia="仿宋_GB2312" w:cs="仿宋_GB2312"/>
          <w:highlight w:val="none"/>
        </w:rPr>
        <w:t>1.2采购文件及其附件、补充文件；</w:t>
      </w:r>
    </w:p>
    <w:p w14:paraId="659A86CD">
      <w:pPr>
        <w:pStyle w:val="11"/>
        <w:spacing w:line="360" w:lineRule="auto"/>
        <w:ind w:firstLineChars="200"/>
        <w:jc w:val="left"/>
        <w:rPr>
          <w:highlight w:val="none"/>
        </w:rPr>
      </w:pPr>
      <w:r>
        <w:rPr>
          <w:rFonts w:ascii="仿宋_GB2312" w:hAnsi="仿宋_GB2312" w:eastAsia="仿宋_GB2312" w:cs="仿宋_GB2312"/>
          <w:highlight w:val="none"/>
        </w:rPr>
        <w:t>1.3乙方的响应文件及其附件、补充文件；</w:t>
      </w:r>
    </w:p>
    <w:p w14:paraId="7F51F678">
      <w:pPr>
        <w:pStyle w:val="11"/>
        <w:spacing w:line="360" w:lineRule="auto"/>
        <w:ind w:firstLineChars="200"/>
        <w:jc w:val="left"/>
        <w:rPr>
          <w:highlight w:val="none"/>
        </w:rPr>
      </w:pPr>
      <w:r>
        <w:rPr>
          <w:rFonts w:ascii="仿宋_GB2312" w:hAnsi="仿宋_GB2312" w:eastAsia="仿宋_GB2312" w:cs="仿宋_GB2312"/>
          <w:highlight w:val="none"/>
        </w:rPr>
        <w:t>1.4其他文件或材料：</w:t>
      </w:r>
    </w:p>
    <w:p w14:paraId="18E19658">
      <w:pPr>
        <w:pStyle w:val="11"/>
        <w:spacing w:line="360" w:lineRule="auto"/>
        <w:jc w:val="left"/>
        <w:outlineLvl w:val="2"/>
        <w:rPr>
          <w:highlight w:val="none"/>
        </w:rPr>
      </w:pPr>
      <w:r>
        <w:rPr>
          <w:rFonts w:ascii="仿宋_GB2312" w:hAnsi="仿宋_GB2312" w:eastAsia="仿宋_GB2312" w:cs="仿宋_GB2312"/>
          <w:b/>
          <w:sz w:val="24"/>
          <w:highlight w:val="none"/>
        </w:rPr>
        <w:t xml:space="preserve"> 二、合同标的</w:t>
      </w:r>
    </w:p>
    <w:tbl>
      <w:tblPr>
        <w:tblStyle w:val="9"/>
        <w:tblpPr w:leftFromText="180" w:rightFromText="180" w:vertAnchor="text" w:horzAnchor="page" w:tblpX="1286" w:tblpY="435"/>
        <w:tblOverlap w:val="never"/>
        <w:tblW w:w="92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
        <w:gridCol w:w="1422"/>
        <w:gridCol w:w="2298"/>
        <w:gridCol w:w="738"/>
        <w:gridCol w:w="1346"/>
        <w:gridCol w:w="1134"/>
        <w:gridCol w:w="1333"/>
      </w:tblGrid>
      <w:tr w14:paraId="3C78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974" w:type="dxa"/>
            <w:tcBorders>
              <w:right w:val="single" w:color="auto" w:sz="4" w:space="0"/>
            </w:tcBorders>
            <w:vAlign w:val="center"/>
          </w:tcPr>
          <w:p w14:paraId="17E7731B">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品目号</w:t>
            </w:r>
          </w:p>
        </w:tc>
        <w:tc>
          <w:tcPr>
            <w:tcW w:w="1422" w:type="dxa"/>
            <w:tcBorders>
              <w:right w:val="single" w:color="auto" w:sz="4" w:space="0"/>
            </w:tcBorders>
            <w:vAlign w:val="center"/>
          </w:tcPr>
          <w:p w14:paraId="3B71E3B9">
            <w:pPr>
              <w:spacing w:line="360" w:lineRule="auto"/>
              <w:jc w:val="center"/>
              <w:rPr>
                <w:rFonts w:hint="eastAsia" w:ascii="仿宋_GB2312" w:hAnsi="仿宋_GB2312" w:eastAsia="仿宋_GB2312" w:cs="仿宋_GB2312"/>
                <w:kern w:val="0"/>
                <w:sz w:val="20"/>
                <w:szCs w:val="20"/>
                <w:highlight w:val="none"/>
                <w:lang w:val="en-US" w:eastAsia="zh-Hans"/>
              </w:rPr>
            </w:pPr>
          </w:p>
          <w:p w14:paraId="08D648DC">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项目名称</w:t>
            </w:r>
          </w:p>
          <w:p w14:paraId="03FF468E">
            <w:pPr>
              <w:spacing w:line="360" w:lineRule="auto"/>
              <w:jc w:val="center"/>
              <w:rPr>
                <w:rFonts w:hint="eastAsia" w:ascii="仿宋_GB2312" w:hAnsi="仿宋_GB2312" w:eastAsia="仿宋_GB2312" w:cs="仿宋_GB2312"/>
                <w:kern w:val="0"/>
                <w:sz w:val="20"/>
                <w:szCs w:val="20"/>
                <w:highlight w:val="none"/>
                <w:lang w:val="en-US" w:eastAsia="zh-Hans"/>
              </w:rPr>
            </w:pPr>
          </w:p>
        </w:tc>
        <w:tc>
          <w:tcPr>
            <w:tcW w:w="2298" w:type="dxa"/>
            <w:tcBorders>
              <w:left w:val="single" w:color="auto" w:sz="4" w:space="0"/>
            </w:tcBorders>
            <w:vAlign w:val="center"/>
          </w:tcPr>
          <w:p w14:paraId="4BA982EF">
            <w:pPr>
              <w:widowControl/>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服务内容</w:t>
            </w:r>
          </w:p>
        </w:tc>
        <w:tc>
          <w:tcPr>
            <w:tcW w:w="738" w:type="dxa"/>
            <w:vAlign w:val="center"/>
          </w:tcPr>
          <w:p w14:paraId="2388A0DC">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服务期限</w:t>
            </w:r>
          </w:p>
        </w:tc>
        <w:tc>
          <w:tcPr>
            <w:tcW w:w="1346" w:type="dxa"/>
            <w:vAlign w:val="center"/>
          </w:tcPr>
          <w:p w14:paraId="47CACF77">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付款方式</w:t>
            </w:r>
          </w:p>
        </w:tc>
        <w:tc>
          <w:tcPr>
            <w:tcW w:w="1134" w:type="dxa"/>
            <w:tcBorders>
              <w:right w:val="single" w:color="auto" w:sz="4" w:space="0"/>
            </w:tcBorders>
            <w:vAlign w:val="center"/>
          </w:tcPr>
          <w:p w14:paraId="76C259FD">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服务费(元)</w:t>
            </w:r>
          </w:p>
        </w:tc>
        <w:tc>
          <w:tcPr>
            <w:tcW w:w="1333" w:type="dxa"/>
            <w:tcBorders>
              <w:right w:val="single" w:color="auto" w:sz="4" w:space="0"/>
            </w:tcBorders>
            <w:vAlign w:val="center"/>
          </w:tcPr>
          <w:p w14:paraId="061C0E76">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备注</w:t>
            </w:r>
          </w:p>
        </w:tc>
      </w:tr>
      <w:tr w14:paraId="6FE4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4" w:hRule="atLeast"/>
        </w:trPr>
        <w:tc>
          <w:tcPr>
            <w:tcW w:w="974" w:type="dxa"/>
            <w:tcBorders>
              <w:right w:val="single" w:color="auto" w:sz="4" w:space="0"/>
            </w:tcBorders>
            <w:vAlign w:val="center"/>
          </w:tcPr>
          <w:p w14:paraId="18D428F8">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1</w:t>
            </w:r>
          </w:p>
          <w:p w14:paraId="65B1B26D">
            <w:pPr>
              <w:spacing w:line="360" w:lineRule="auto"/>
              <w:jc w:val="center"/>
              <w:rPr>
                <w:rFonts w:hint="eastAsia" w:ascii="仿宋_GB2312" w:hAnsi="仿宋_GB2312" w:eastAsia="仿宋_GB2312" w:cs="仿宋_GB2312"/>
                <w:kern w:val="0"/>
                <w:sz w:val="20"/>
                <w:szCs w:val="20"/>
                <w:highlight w:val="none"/>
                <w:lang w:val="en-US" w:eastAsia="zh-CN"/>
              </w:rPr>
            </w:pPr>
          </w:p>
        </w:tc>
        <w:tc>
          <w:tcPr>
            <w:tcW w:w="1422" w:type="dxa"/>
            <w:tcBorders>
              <w:right w:val="single" w:color="auto" w:sz="4" w:space="0"/>
            </w:tcBorders>
            <w:vAlign w:val="top"/>
          </w:tcPr>
          <w:p w14:paraId="3060B847">
            <w:pPr>
              <w:spacing w:line="360" w:lineRule="auto"/>
              <w:jc w:val="both"/>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CN"/>
              </w:rPr>
              <w:t>榕水大厦（福州市鼓楼区东街104号）老旧线路安全隐患年度排查检测项目</w:t>
            </w:r>
          </w:p>
        </w:tc>
        <w:tc>
          <w:tcPr>
            <w:tcW w:w="2298" w:type="dxa"/>
            <w:tcBorders>
              <w:left w:val="single" w:color="auto" w:sz="4" w:space="0"/>
            </w:tcBorders>
            <w:vAlign w:val="top"/>
          </w:tcPr>
          <w:p w14:paraId="6A7AD99C">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CN"/>
              </w:rPr>
              <w:t>对检测范围内所有老旧线路安全隐患进行排查检测，包括但不限于供配电装置、低压用电设备、室内低压配电线路、接地和等电位的排查检测等，具体检测项目和检测要求详见第五条规定。</w:t>
            </w:r>
          </w:p>
        </w:tc>
        <w:tc>
          <w:tcPr>
            <w:tcW w:w="738" w:type="dxa"/>
            <w:vAlign w:val="top"/>
          </w:tcPr>
          <w:p w14:paraId="6746E97B">
            <w:pPr>
              <w:spacing w:line="360" w:lineRule="auto"/>
              <w:jc w:val="center"/>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CN"/>
              </w:rPr>
              <w:t>自合同签订之日一周内完成检测。</w:t>
            </w:r>
          </w:p>
        </w:tc>
        <w:tc>
          <w:tcPr>
            <w:tcW w:w="1346" w:type="dxa"/>
            <w:vAlign w:val="top"/>
          </w:tcPr>
          <w:p w14:paraId="5E706467">
            <w:pPr>
              <w:spacing w:line="360" w:lineRule="auto"/>
              <w:jc w:val="center"/>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服务期间，提交检测报告后组织验收，经采购人验收合格后，供应商开具国家核发正规发票结算，采购人在收到发票30日内一次性付款</w:t>
            </w:r>
          </w:p>
        </w:tc>
        <w:tc>
          <w:tcPr>
            <w:tcW w:w="1134" w:type="dxa"/>
            <w:tcBorders>
              <w:right w:val="single" w:color="auto" w:sz="4" w:space="0"/>
            </w:tcBorders>
            <w:vAlign w:val="top"/>
          </w:tcPr>
          <w:p w14:paraId="51BF9E3A">
            <w:pPr>
              <w:spacing w:line="360" w:lineRule="auto"/>
              <w:jc w:val="center"/>
              <w:rPr>
                <w:rFonts w:hint="eastAsia" w:ascii="仿宋_GB2312" w:hAnsi="仿宋_GB2312" w:eastAsia="仿宋_GB2312" w:cs="仿宋_GB2312"/>
                <w:kern w:val="0"/>
                <w:sz w:val="20"/>
                <w:szCs w:val="20"/>
                <w:highlight w:val="none"/>
                <w:lang w:val="en-US" w:eastAsia="zh-Hans"/>
              </w:rPr>
            </w:pPr>
          </w:p>
        </w:tc>
        <w:tc>
          <w:tcPr>
            <w:tcW w:w="1333" w:type="dxa"/>
            <w:tcBorders>
              <w:right w:val="single" w:color="auto" w:sz="4" w:space="0"/>
            </w:tcBorders>
            <w:vAlign w:val="top"/>
          </w:tcPr>
          <w:p w14:paraId="3C197498">
            <w:pPr>
              <w:spacing w:line="360" w:lineRule="auto"/>
              <w:rPr>
                <w:rFonts w:hint="eastAsia" w:ascii="仿宋_GB2312" w:hAnsi="仿宋_GB2312" w:eastAsia="仿宋_GB2312" w:cs="仿宋_GB2312"/>
                <w:kern w:val="0"/>
                <w:sz w:val="20"/>
                <w:szCs w:val="20"/>
                <w:highlight w:val="none"/>
                <w:lang w:val="en-US" w:eastAsia="zh-Hans"/>
              </w:rPr>
            </w:pPr>
          </w:p>
          <w:p w14:paraId="051F0E7F">
            <w:pPr>
              <w:spacing w:line="360" w:lineRule="auto"/>
              <w:rPr>
                <w:rFonts w:hint="eastAsia" w:ascii="仿宋_GB2312" w:hAnsi="仿宋_GB2312" w:eastAsia="仿宋_GB2312" w:cs="仿宋_GB2312"/>
                <w:kern w:val="0"/>
                <w:sz w:val="20"/>
                <w:szCs w:val="20"/>
                <w:highlight w:val="none"/>
                <w:lang w:val="en-US" w:eastAsia="zh-Hans"/>
              </w:rPr>
            </w:pPr>
          </w:p>
          <w:p w14:paraId="5AFBE9E7">
            <w:pPr>
              <w:spacing w:line="360" w:lineRule="auto"/>
              <w:rPr>
                <w:rFonts w:hint="eastAsia" w:ascii="仿宋_GB2312" w:hAnsi="仿宋_GB2312" w:eastAsia="仿宋_GB2312" w:cs="仿宋_GB2312"/>
                <w:kern w:val="0"/>
                <w:sz w:val="20"/>
                <w:szCs w:val="20"/>
                <w:highlight w:val="none"/>
                <w:lang w:val="en-US" w:eastAsia="zh-Hans"/>
              </w:rPr>
            </w:pPr>
          </w:p>
          <w:p w14:paraId="38458386">
            <w:pPr>
              <w:spacing w:line="360" w:lineRule="auto"/>
              <w:rPr>
                <w:rFonts w:hint="eastAsia" w:ascii="仿宋_GB2312" w:hAnsi="仿宋_GB2312" w:eastAsia="仿宋_GB2312" w:cs="仿宋_GB2312"/>
                <w:kern w:val="0"/>
                <w:sz w:val="20"/>
                <w:szCs w:val="20"/>
                <w:highlight w:val="none"/>
                <w:lang w:val="en-US" w:eastAsia="zh-Hans"/>
              </w:rPr>
            </w:pPr>
          </w:p>
          <w:p w14:paraId="2E7F9572">
            <w:pPr>
              <w:spacing w:line="360" w:lineRule="auto"/>
              <w:rPr>
                <w:rFonts w:hint="eastAsia" w:ascii="仿宋_GB2312" w:hAnsi="仿宋_GB2312" w:eastAsia="仿宋_GB2312" w:cs="仿宋_GB2312"/>
                <w:kern w:val="0"/>
                <w:sz w:val="20"/>
                <w:szCs w:val="20"/>
                <w:highlight w:val="none"/>
                <w:lang w:val="en-US" w:eastAsia="zh-Hans"/>
              </w:rPr>
            </w:pPr>
          </w:p>
          <w:p w14:paraId="368C5D89">
            <w:pPr>
              <w:jc w:val="both"/>
              <w:rPr>
                <w:rFonts w:hint="eastAsia" w:ascii="仿宋_GB2312" w:hAnsi="仿宋_GB2312" w:eastAsia="仿宋_GB2312" w:cs="仿宋_GB2312"/>
                <w:kern w:val="0"/>
                <w:sz w:val="20"/>
                <w:szCs w:val="20"/>
                <w:highlight w:val="none"/>
                <w:lang w:val="en-US" w:eastAsia="zh-Hans"/>
              </w:rPr>
            </w:pPr>
          </w:p>
        </w:tc>
      </w:tr>
    </w:tbl>
    <w:p w14:paraId="742BE3DF">
      <w:pPr>
        <w:pStyle w:val="11"/>
        <w:spacing w:line="360" w:lineRule="auto"/>
        <w:jc w:val="left"/>
        <w:outlineLvl w:val="2"/>
        <w:rPr>
          <w:highlight w:val="none"/>
        </w:rPr>
      </w:pPr>
      <w:r>
        <w:rPr>
          <w:highlight w:val="none"/>
        </w:rPr>
        <w:br w:type="textWrapping"/>
      </w:r>
    </w:p>
    <w:p w14:paraId="4DFC3EC4">
      <w:pPr>
        <w:pStyle w:val="11"/>
        <w:spacing w:line="360" w:lineRule="auto"/>
        <w:jc w:val="left"/>
        <w:outlineLvl w:val="2"/>
        <w:rPr>
          <w:highlight w:val="none"/>
        </w:rPr>
      </w:pPr>
      <w:r>
        <w:rPr>
          <w:rFonts w:ascii="仿宋_GB2312" w:hAnsi="仿宋_GB2312" w:eastAsia="仿宋_GB2312" w:cs="仿宋_GB2312"/>
          <w:b/>
          <w:sz w:val="24"/>
          <w:highlight w:val="none"/>
        </w:rPr>
        <w:t xml:space="preserve"> 三、价格形式及合同价款</w:t>
      </w:r>
    </w:p>
    <w:p w14:paraId="2307F571">
      <w:pPr>
        <w:pStyle w:val="11"/>
        <w:spacing w:line="360" w:lineRule="auto"/>
        <w:jc w:val="left"/>
        <w:outlineLvl w:val="9"/>
        <w:rPr>
          <w:highlight w:val="none"/>
        </w:rPr>
      </w:pPr>
      <w:r>
        <w:rPr>
          <w:rFonts w:ascii="仿宋_GB2312" w:hAnsi="仿宋_GB2312" w:eastAsia="仿宋_GB2312" w:cs="仿宋_GB2312"/>
          <w:b/>
          <w:sz w:val="20"/>
          <w:highlight w:val="none"/>
        </w:rPr>
        <w:t xml:space="preserve"> 3.1价格形式</w:t>
      </w:r>
    </w:p>
    <w:p w14:paraId="6F9A570A">
      <w:pPr>
        <w:pStyle w:val="11"/>
        <w:spacing w:line="360" w:lineRule="auto"/>
        <w:ind w:firstLineChars="200"/>
        <w:jc w:val="left"/>
        <w:rPr>
          <w:highlight w:val="none"/>
        </w:rPr>
      </w:pPr>
      <w:r>
        <w:rPr>
          <w:rFonts w:ascii="仿宋_GB2312" w:hAnsi="仿宋_GB2312" w:eastAsia="仿宋_GB2312" w:cs="仿宋_GB2312"/>
          <w:highlight w:val="none"/>
        </w:rPr>
        <w:t xml:space="preserve"> 固定单价合同。完成约定服务事项的含税合同单价为：人民币（大写）元（￥</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元）。</w:t>
      </w:r>
    </w:p>
    <w:p w14:paraId="0CA84D0A">
      <w:pPr>
        <w:pStyle w:val="11"/>
        <w:spacing w:line="360" w:lineRule="auto"/>
        <w:ind w:firstLineChars="200"/>
        <w:jc w:val="left"/>
        <w:rPr>
          <w:highlight w:val="none"/>
        </w:rPr>
      </w:pPr>
      <w:r>
        <w:rPr>
          <w:rFonts w:ascii="仿宋_GB2312" w:hAnsi="仿宋_GB2312" w:eastAsia="仿宋_GB2312" w:cs="仿宋_GB2312"/>
          <w:highlight w:val="none"/>
        </w:rPr>
        <w:t xml:space="preserve"> 固定总价合同。完成约定服务事项的含税服务费用为：人民币（大写）元（￥</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 xml:space="preserve"> 元）。</w:t>
      </w:r>
    </w:p>
    <w:p w14:paraId="6D43B943">
      <w:pPr>
        <w:pStyle w:val="11"/>
        <w:spacing w:line="360" w:lineRule="auto"/>
        <w:ind w:firstLineChars="200"/>
        <w:jc w:val="left"/>
        <w:rPr>
          <w:highlight w:val="none"/>
          <w:u w:val="single"/>
        </w:rPr>
      </w:pPr>
      <w:r>
        <w:rPr>
          <w:rFonts w:ascii="仿宋_GB2312" w:hAnsi="仿宋_GB2312" w:eastAsia="仿宋_GB2312" w:cs="仿宋_GB2312"/>
          <w:highlight w:val="none"/>
        </w:rPr>
        <w:t xml:space="preserve"> 其他方式</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p>
    <w:p w14:paraId="7DCAB3F7">
      <w:pPr>
        <w:pStyle w:val="11"/>
        <w:spacing w:line="360" w:lineRule="auto"/>
        <w:jc w:val="left"/>
        <w:outlineLvl w:val="9"/>
        <w:rPr>
          <w:rFonts w:ascii="仿宋_GB2312" w:hAnsi="仿宋_GB2312" w:eastAsia="仿宋_GB2312" w:cs="仿宋_GB2312"/>
          <w:b/>
          <w:sz w:val="20"/>
          <w:highlight w:val="none"/>
        </w:rPr>
      </w:pPr>
      <w:r>
        <w:rPr>
          <w:rFonts w:ascii="仿宋_GB2312" w:hAnsi="仿宋_GB2312" w:eastAsia="仿宋_GB2312" w:cs="仿宋_GB2312"/>
          <w:b/>
          <w:sz w:val="20"/>
          <w:highlight w:val="none"/>
        </w:rPr>
        <w:t xml:space="preserve"> 3.2合同价款包含范围</w:t>
      </w:r>
    </w:p>
    <w:p w14:paraId="7BF351A5">
      <w:pPr>
        <w:pStyle w:val="11"/>
        <w:spacing w:line="360" w:lineRule="auto"/>
        <w:jc w:val="left"/>
        <w:outlineLvl w:val="9"/>
        <w:rPr>
          <w:rFonts w:hint="eastAsia" w:ascii="仿宋_GB2312" w:hAnsi="仿宋_GB2312" w:eastAsia="仿宋_GB2312" w:cs="仿宋_GB2312"/>
          <w:b/>
          <w:sz w:val="20"/>
          <w:highlight w:val="none"/>
          <w:lang w:eastAsia="zh-CN"/>
        </w:rPr>
      </w:pPr>
      <w:r>
        <w:rPr>
          <w:rFonts w:hint="eastAsia" w:ascii="仿宋_GB2312" w:hAnsi="仿宋_GB2312" w:eastAsia="仿宋_GB2312" w:cs="仿宋_GB2312"/>
          <w:b/>
          <w:sz w:val="20"/>
          <w:highlight w:val="none"/>
          <w:lang w:eastAsia="zh-CN"/>
        </w:rPr>
        <w:t>本合同价款为固定总价，包含但不限于：乙方人员的人工费、加班费、设备仪器使用费、现场检测耗材费、差旅交通费、保险费、管理费、税费、报告编制审核费及乙方完成本合同约定检测范围内的所有工作所需的全部费用。</w:t>
      </w:r>
    </w:p>
    <w:p w14:paraId="1717A9DC">
      <w:pPr>
        <w:pStyle w:val="11"/>
        <w:spacing w:line="360" w:lineRule="auto"/>
        <w:jc w:val="left"/>
        <w:outlineLvl w:val="9"/>
        <w:rPr>
          <w:rFonts w:hint="default"/>
          <w:highlight w:val="none"/>
          <w:lang w:val="en-US"/>
        </w:rPr>
      </w:pPr>
      <w:r>
        <w:rPr>
          <w:rFonts w:ascii="仿宋_GB2312" w:hAnsi="仿宋_GB2312" w:eastAsia="仿宋_GB2312" w:cs="仿宋_GB2312"/>
          <w:b/>
          <w:sz w:val="20"/>
          <w:highlight w:val="none"/>
        </w:rPr>
        <w:t xml:space="preserve"> 3.3其他需说明的事项：</w:t>
      </w:r>
      <w:r>
        <w:rPr>
          <w:rFonts w:hint="default" w:ascii="仿宋_GB2312" w:hAnsi="仿宋_GB2312" w:eastAsia="仿宋_GB2312" w:cs="仿宋_GB2312"/>
          <w:b/>
          <w:sz w:val="20"/>
          <w:highlight w:val="none"/>
          <w:u w:val="single"/>
          <w:lang w:val="en-US"/>
        </w:rPr>
        <w:t xml:space="preserve">    </w:t>
      </w:r>
      <w:r>
        <w:rPr>
          <w:rFonts w:hint="eastAsia" w:ascii="仿宋_GB2312" w:hAnsi="仿宋_GB2312" w:eastAsia="仿宋_GB2312" w:cs="仿宋_GB2312"/>
          <w:b/>
          <w:sz w:val="20"/>
          <w:highlight w:val="none"/>
          <w:u w:val="single"/>
          <w:lang w:val="en-US" w:eastAsia="zh-CN"/>
        </w:rPr>
        <w:t>无</w:t>
      </w:r>
      <w:r>
        <w:rPr>
          <w:rFonts w:hint="default" w:ascii="仿宋_GB2312" w:hAnsi="仿宋_GB2312" w:eastAsia="仿宋_GB2312" w:cs="仿宋_GB2312"/>
          <w:b/>
          <w:sz w:val="20"/>
          <w:highlight w:val="none"/>
          <w:u w:val="single"/>
          <w:lang w:val="en-US"/>
        </w:rPr>
        <w:t xml:space="preserve">       </w:t>
      </w:r>
      <w:r>
        <w:rPr>
          <w:rFonts w:hint="default" w:ascii="仿宋_GB2312" w:hAnsi="仿宋_GB2312" w:eastAsia="仿宋_GB2312" w:cs="仿宋_GB2312"/>
          <w:b/>
          <w:sz w:val="20"/>
          <w:highlight w:val="none"/>
          <w:lang w:val="en-US"/>
        </w:rPr>
        <w:t xml:space="preserve">  </w:t>
      </w:r>
    </w:p>
    <w:p w14:paraId="7E31C15E">
      <w:pPr>
        <w:pStyle w:val="11"/>
        <w:spacing w:line="360" w:lineRule="auto"/>
        <w:jc w:val="left"/>
        <w:outlineLvl w:val="2"/>
        <w:rPr>
          <w:highlight w:val="none"/>
        </w:rPr>
      </w:pPr>
      <w:r>
        <w:rPr>
          <w:rFonts w:ascii="仿宋_GB2312" w:hAnsi="仿宋_GB2312" w:eastAsia="仿宋_GB2312" w:cs="仿宋_GB2312"/>
          <w:b/>
          <w:sz w:val="24"/>
          <w:highlight w:val="none"/>
        </w:rPr>
        <w:t xml:space="preserve"> 四、合同标的及服务范围、地点和时间</w:t>
      </w:r>
    </w:p>
    <w:p w14:paraId="4C97601E">
      <w:pPr>
        <w:pStyle w:val="11"/>
        <w:spacing w:line="360" w:lineRule="auto"/>
        <w:ind w:firstLineChars="200"/>
        <w:jc w:val="left"/>
        <w:rPr>
          <w:rFonts w:ascii="仿宋_GB2312" w:hAnsi="仿宋_GB2312" w:eastAsia="仿宋_GB2312" w:cs="仿宋_GB2312"/>
          <w:highlight w:val="none"/>
        </w:rPr>
      </w:pPr>
      <w:r>
        <w:rPr>
          <w:rFonts w:ascii="仿宋_GB2312" w:hAnsi="仿宋_GB2312" w:eastAsia="仿宋_GB2312" w:cs="仿宋_GB2312"/>
          <w:highlight w:val="none"/>
        </w:rPr>
        <w:t xml:space="preserve"> 4.1项目名称： </w:t>
      </w:r>
      <w:r>
        <w:rPr>
          <w:rFonts w:hint="eastAsia" w:ascii="仿宋_GB2312" w:hAnsi="仿宋_GB2312" w:eastAsia="仿宋_GB2312" w:cs="仿宋_GB2312"/>
          <w:highlight w:val="none"/>
          <w:lang w:eastAsia="zh-CN"/>
        </w:rPr>
        <w:t>榕水大厦老旧线路安全隐患年度排查检测</w:t>
      </w:r>
    </w:p>
    <w:p w14:paraId="17A5C138">
      <w:pPr>
        <w:pStyle w:val="11"/>
        <w:spacing w:line="360" w:lineRule="auto"/>
        <w:ind w:firstLineChars="200"/>
        <w:jc w:val="left"/>
        <w:rPr>
          <w:rFonts w:ascii="仿宋_GB2312" w:hAnsi="仿宋_GB2312" w:eastAsia="仿宋_GB2312" w:cs="仿宋_GB2312"/>
          <w:highlight w:val="none"/>
        </w:rPr>
      </w:pPr>
      <w:r>
        <w:rPr>
          <w:rFonts w:ascii="仿宋_GB2312" w:hAnsi="仿宋_GB2312" w:eastAsia="仿宋_GB2312" w:cs="仿宋_GB2312"/>
          <w:highlight w:val="none"/>
        </w:rPr>
        <w:t xml:space="preserve"> 4.2服务范围：</w:t>
      </w:r>
      <w:r>
        <w:rPr>
          <w:rFonts w:hint="eastAsia" w:ascii="仿宋_GB2312" w:hAnsi="仿宋_GB2312" w:eastAsia="仿宋_GB2312" w:cs="仿宋_GB2312"/>
          <w:color w:val="FF0000"/>
          <w:kern w:val="0"/>
          <w:sz w:val="20"/>
          <w:szCs w:val="20"/>
          <w:highlight w:val="none"/>
          <w:lang w:val="en-US" w:eastAsia="zh-CN"/>
        </w:rPr>
        <w:t>对榕水大厦（地址：福州市鼓楼区东街104号）进行</w:t>
      </w:r>
      <w:r>
        <w:rPr>
          <w:rFonts w:hint="eastAsia" w:ascii="仿宋_GB2312" w:hAnsi="仿宋_GB2312" w:eastAsia="仿宋_GB2312" w:cs="仿宋_GB2312"/>
          <w:b w:val="0"/>
          <w:bCs w:val="0"/>
          <w:color w:val="FF0000"/>
          <w:sz w:val="20"/>
          <w:szCs w:val="20"/>
          <w:highlight w:val="none"/>
          <w:lang w:val="en-US" w:eastAsia="zh-CN"/>
        </w:rPr>
        <w:t>老旧线路安全隐患年度排查检测，检测范围包括大楼地上1~21楼空间（含</w:t>
      </w:r>
      <w:r>
        <w:rPr>
          <w:rFonts w:hint="eastAsia" w:ascii="仿宋_GB2312" w:hAnsi="仿宋_GB2312" w:eastAsia="仿宋_GB2312" w:cs="仿宋_GB2312"/>
          <w:color w:val="FF0000"/>
          <w:kern w:val="0"/>
          <w:sz w:val="20"/>
          <w:szCs w:val="20"/>
          <w:highlight w:val="none"/>
          <w:lang w:val="en-US" w:eastAsia="zh-CN"/>
        </w:rPr>
        <w:t>天花板吊顶、楼梯间等隐蔽空间）、地下停车场（含地面、地下1~2层）及保安亭）。</w:t>
      </w:r>
      <w:r>
        <w:rPr>
          <w:rFonts w:hint="default" w:ascii="仿宋_GB2312" w:hAnsi="仿宋_GB2312" w:eastAsia="仿宋_GB2312" w:cs="仿宋_GB2312"/>
          <w:highlight w:val="none"/>
          <w:lang w:val="en-US" w:eastAsia="zh-CN"/>
        </w:rPr>
        <w:t xml:space="preserve">        </w:t>
      </w:r>
    </w:p>
    <w:p w14:paraId="0D58F882">
      <w:pPr>
        <w:pStyle w:val="11"/>
        <w:spacing w:line="360" w:lineRule="auto"/>
        <w:ind w:firstLineChars="200"/>
        <w:jc w:val="left"/>
        <w:rPr>
          <w:rFonts w:ascii="仿宋_GB2312" w:hAnsi="仿宋_GB2312" w:eastAsia="仿宋_GB2312" w:cs="仿宋_GB2312"/>
          <w:highlight w:val="none"/>
        </w:rPr>
      </w:pPr>
      <w:r>
        <w:rPr>
          <w:rFonts w:ascii="仿宋_GB2312" w:hAnsi="仿宋_GB2312" w:eastAsia="仿宋_GB2312" w:cs="仿宋_GB2312"/>
          <w:highlight w:val="none"/>
        </w:rPr>
        <w:t xml:space="preserve"> 4.3服务地点：</w:t>
      </w:r>
      <w:r>
        <w:rPr>
          <w:rFonts w:hint="default"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lang w:val="en-US" w:eastAsia="zh-CN"/>
        </w:rPr>
        <w:t>榕水大厦（地址：</w:t>
      </w:r>
      <w:r>
        <w:rPr>
          <w:rFonts w:ascii="仿宋_GB2312" w:hAnsi="仿宋_GB2312" w:eastAsia="仿宋_GB2312" w:cs="仿宋_GB2312"/>
          <w:highlight w:val="none"/>
        </w:rPr>
        <w:t>福州市鼓楼区东街104号</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lang w:val="en-US" w:eastAsia="zh-CN"/>
        </w:rPr>
        <w:t xml:space="preserve"> </w:t>
      </w:r>
    </w:p>
    <w:p w14:paraId="689A40D8">
      <w:pPr>
        <w:pStyle w:val="11"/>
        <w:spacing w:line="360" w:lineRule="auto"/>
        <w:ind w:firstLineChars="200"/>
        <w:jc w:val="left"/>
        <w:rPr>
          <w:rFonts w:hint="default" w:ascii="仿宋_GB2312" w:hAnsi="仿宋_GB2312" w:eastAsia="仿宋_GB2312" w:cs="仿宋_GB2312"/>
          <w:highlight w:val="none"/>
          <w:lang w:val="en-US"/>
        </w:rPr>
      </w:pPr>
      <w:r>
        <w:rPr>
          <w:rFonts w:ascii="仿宋_GB2312" w:hAnsi="仿宋_GB2312" w:eastAsia="仿宋_GB2312" w:cs="仿宋_GB2312"/>
          <w:highlight w:val="none"/>
        </w:rPr>
        <w:t xml:space="preserve"> 4.4服务完成时间：</w:t>
      </w:r>
      <w:r>
        <w:rPr>
          <w:rFonts w:hint="default" w:ascii="仿宋_GB2312" w:hAnsi="仿宋_GB2312" w:eastAsia="仿宋_GB2312" w:cs="仿宋_GB2312"/>
          <w:highlight w:val="none"/>
          <w:lang w:val="en-US" w:eastAsia="zh-CN"/>
        </w:rPr>
        <w:t xml:space="preserve"> </w:t>
      </w:r>
      <w:r>
        <w:rPr>
          <w:rFonts w:hint="eastAsia" w:ascii="仿宋_GB2312" w:hAnsi="仿宋_GB2312" w:eastAsia="仿宋_GB2312" w:cs="仿宋_GB2312"/>
          <w:color w:val="FF0000"/>
          <w:highlight w:val="none"/>
          <w:lang w:eastAsia="zh-CN"/>
        </w:rPr>
        <w:t>自合同签订之日</w:t>
      </w:r>
      <w:r>
        <w:rPr>
          <w:rFonts w:hint="eastAsia" w:ascii="仿宋_GB2312" w:hAnsi="仿宋_GB2312" w:eastAsia="仿宋_GB2312" w:cs="仿宋_GB2312"/>
          <w:color w:val="FF0000"/>
          <w:highlight w:val="none"/>
          <w:lang w:val="en-US" w:eastAsia="zh-CN"/>
        </w:rPr>
        <w:t>一周内完成检测，</w:t>
      </w:r>
      <w:r>
        <w:rPr>
          <w:rFonts w:hint="eastAsia" w:ascii="仿宋_GB2312" w:hAnsi="仿宋_GB2312" w:eastAsia="仿宋_GB2312" w:cs="仿宋_GB2312"/>
          <w:highlight w:val="none"/>
          <w:lang w:val="en-US" w:eastAsia="zh-CN"/>
        </w:rPr>
        <w:t>检测完成后5个工作日内提供检测报告。</w:t>
      </w:r>
    </w:p>
    <w:p w14:paraId="0A19CC61">
      <w:pPr>
        <w:pStyle w:val="11"/>
        <w:spacing w:line="360" w:lineRule="auto"/>
        <w:jc w:val="left"/>
        <w:outlineLvl w:val="2"/>
        <w:rPr>
          <w:highlight w:val="none"/>
        </w:rPr>
      </w:pPr>
      <w:r>
        <w:rPr>
          <w:rFonts w:ascii="仿宋_GB2312" w:hAnsi="仿宋_GB2312" w:eastAsia="仿宋_GB2312" w:cs="仿宋_GB2312"/>
          <w:b/>
          <w:sz w:val="24"/>
          <w:highlight w:val="none"/>
        </w:rPr>
        <w:t xml:space="preserve"> 五、服务内容、质量标准和要求</w:t>
      </w:r>
    </w:p>
    <w:p w14:paraId="0C3A20E1">
      <w:pPr>
        <w:pStyle w:val="11"/>
        <w:spacing w:line="360" w:lineRule="auto"/>
        <w:ind w:firstLineChars="200"/>
        <w:jc w:val="left"/>
        <w:rPr>
          <w:rFonts w:hint="eastAsia" w:ascii="仿宋_GB2312" w:hAnsi="仿宋_GB2312" w:eastAsia="仿宋_GB2312" w:cs="仿宋_GB2312"/>
          <w:highlight w:val="none"/>
          <w:lang w:val="en-US" w:eastAsia="zh-CN"/>
        </w:rPr>
      </w:pPr>
      <w:r>
        <w:rPr>
          <w:rFonts w:ascii="仿宋_GB2312" w:hAnsi="仿宋_GB2312" w:eastAsia="仿宋_GB2312" w:cs="仿宋_GB2312"/>
          <w:highlight w:val="none"/>
        </w:rPr>
        <w:t xml:space="preserve"> 5.</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服务内容：</w:t>
      </w:r>
      <w:r>
        <w:rPr>
          <w:rFonts w:hint="eastAsia" w:ascii="仿宋_GB2312" w:hAnsi="仿宋_GB2312" w:eastAsia="仿宋_GB2312" w:cs="仿宋_GB2312"/>
          <w:kern w:val="0"/>
          <w:sz w:val="20"/>
          <w:szCs w:val="20"/>
          <w:highlight w:val="none"/>
          <w:lang w:val="en-US" w:eastAsia="zh-CN"/>
        </w:rPr>
        <w:t>对检测范围内所有老旧线路安全隐患进行排查检测，包括但</w:t>
      </w:r>
      <w:r>
        <w:rPr>
          <w:rFonts w:hint="eastAsia" w:ascii="仿宋_GB2312" w:hAnsi="仿宋_GB2312" w:eastAsia="仿宋_GB2312" w:cs="仿宋_GB2312"/>
          <w:color w:val="auto"/>
          <w:kern w:val="0"/>
          <w:sz w:val="20"/>
          <w:szCs w:val="20"/>
          <w:highlight w:val="none"/>
          <w:lang w:val="en-US" w:eastAsia="zh-CN"/>
        </w:rPr>
        <w:t>不限于供配电装置、低压用电设备、室内低压配电线路、接地和等电位的排查检测等，具体检测项目和检测要求详见采购文件第四章第二点技术和服务要求，检测完成后</w:t>
      </w:r>
      <w:r>
        <w:rPr>
          <w:rFonts w:hint="eastAsia" w:ascii="仿宋_GB2312" w:hAnsi="仿宋_GB2312" w:eastAsia="仿宋_GB2312" w:cs="仿宋_GB2312"/>
          <w:highlight w:val="none"/>
          <w:lang w:val="en-US" w:eastAsia="zh-CN"/>
        </w:rPr>
        <w:t>，按照甲方要求和合同规定提交检测报告。</w:t>
      </w:r>
    </w:p>
    <w:p w14:paraId="35D01A76">
      <w:pPr>
        <w:pStyle w:val="11"/>
        <w:spacing w:line="360" w:lineRule="auto"/>
        <w:ind w:firstLineChars="200"/>
        <w:jc w:val="left"/>
        <w:rPr>
          <w:highlight w:val="none"/>
        </w:rPr>
      </w:pPr>
      <w:r>
        <w:rPr>
          <w:rFonts w:ascii="仿宋_GB2312" w:hAnsi="仿宋_GB2312" w:eastAsia="仿宋_GB2312" w:cs="仿宋_GB2312"/>
          <w:highlight w:val="none"/>
        </w:rPr>
        <w:t xml:space="preserve"> 5.</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质量标准及要求：</w:t>
      </w:r>
    </w:p>
    <w:p w14:paraId="6DC2687E">
      <w:pPr>
        <w:pStyle w:val="11"/>
        <w:spacing w:line="360" w:lineRule="auto"/>
        <w:ind w:firstLineChars="200"/>
        <w:jc w:val="left"/>
        <w:rPr>
          <w:highlight w:val="none"/>
        </w:rPr>
      </w:pPr>
      <w:r>
        <w:rPr>
          <w:rFonts w:ascii="仿宋_GB2312" w:hAnsi="仿宋_GB2312" w:eastAsia="仿宋_GB2312" w:cs="仿宋_GB2312"/>
          <w:highlight w:val="none"/>
        </w:rPr>
        <w:t xml:space="preserve"> 5.</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21F4244">
      <w:pPr>
        <w:pStyle w:val="11"/>
        <w:spacing w:line="360" w:lineRule="auto"/>
        <w:ind w:firstLineChars="200"/>
        <w:jc w:val="left"/>
        <w:rPr>
          <w:rFonts w:hint="default"/>
          <w:color w:val="000000" w:themeColor="text1"/>
          <w:highlight w:val="none"/>
          <w:u w:val="single"/>
          <w:lang w:val="en-U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r>
        <w:rPr>
          <w:rFonts w:hint="default" w:ascii="仿宋_GB2312" w:hAnsi="仿宋_GB2312" w:eastAsia="仿宋_GB2312" w:cs="仿宋_GB2312"/>
          <w:color w:val="000000" w:themeColor="text1"/>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default" w:ascii="仿宋_GB2312" w:hAnsi="仿宋_GB2312" w:eastAsia="仿宋_GB2312" w:cs="仿宋_GB2312"/>
          <w:color w:val="000000" w:themeColor="text1"/>
          <w:highlight w:val="none"/>
          <w:u w:val="single"/>
          <w:lang w:val="en-US"/>
          <w14:textFill>
            <w14:solidFill>
              <w14:schemeClr w14:val="tx1"/>
            </w14:solidFill>
          </w14:textFill>
        </w:rPr>
        <w:t xml:space="preserve">      </w:t>
      </w:r>
    </w:p>
    <w:p w14:paraId="01BD2942">
      <w:pPr>
        <w:pStyle w:val="11"/>
        <w:spacing w:line="360" w:lineRule="auto"/>
        <w:ind w:firstLineChars="200"/>
        <w:jc w:val="left"/>
        <w:rPr>
          <w:rFonts w:hint="default"/>
          <w:color w:val="FF0000"/>
          <w:highlight w:val="none"/>
          <w:lang w:val="en-US"/>
        </w:rPr>
      </w:pPr>
      <w:r>
        <w:rPr>
          <w:rFonts w:ascii="仿宋_GB2312" w:hAnsi="仿宋_GB2312" w:eastAsia="仿宋_GB2312" w:cs="仿宋_GB2312"/>
          <w:highlight w:val="none"/>
        </w:rPr>
        <w:t xml:space="preserve"> 5.</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.3其他要求：</w:t>
      </w:r>
      <w:r>
        <w:rPr>
          <w:rFonts w:hint="default" w:ascii="仿宋_GB2312" w:hAnsi="仿宋_GB2312" w:eastAsia="仿宋_GB2312" w:cs="仿宋_GB2312"/>
          <w:highlight w:val="none"/>
          <w:lang w:val="en-US"/>
        </w:rPr>
        <w:t xml:space="preserve"> </w:t>
      </w:r>
      <w:r>
        <w:rPr>
          <w:rFonts w:hint="default" w:ascii="仿宋_GB2312" w:hAnsi="仿宋_GB2312" w:eastAsia="仿宋_GB2312" w:cs="仿宋_GB2312"/>
          <w:highlight w:val="none"/>
          <w:u w:val="single"/>
          <w:lang w:val="en-US"/>
        </w:rPr>
        <w:t xml:space="preserve">  </w:t>
      </w:r>
      <w:r>
        <w:rPr>
          <w:rFonts w:hint="default" w:ascii="仿宋_GB2312" w:hAnsi="仿宋_GB2312" w:eastAsia="仿宋_GB2312" w:cs="仿宋_GB2312"/>
          <w:color w:val="000000" w:themeColor="text1"/>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乙方需提供检测报告 3 份，电子版1份</w:t>
      </w:r>
      <w:r>
        <w:rPr>
          <w:rFonts w:hint="default" w:ascii="仿宋_GB2312" w:hAnsi="仿宋_GB2312" w:eastAsia="仿宋_GB2312" w:cs="仿宋_GB2312"/>
          <w:color w:val="000000" w:themeColor="text1"/>
          <w:highlight w:val="none"/>
          <w:u w:val="single"/>
          <w:lang w:val="en-US"/>
          <w14:textFill>
            <w14:solidFill>
              <w14:schemeClr w14:val="tx1"/>
            </w14:solidFill>
          </w14:textFill>
        </w:rPr>
        <w:t xml:space="preserve">          </w:t>
      </w:r>
    </w:p>
    <w:p w14:paraId="7A99D74E">
      <w:pPr>
        <w:pStyle w:val="11"/>
        <w:spacing w:line="360" w:lineRule="auto"/>
        <w:jc w:val="left"/>
        <w:outlineLvl w:val="2"/>
        <w:rPr>
          <w:rFonts w:hint="eastAsia" w:eastAsia="仿宋_GB2312"/>
          <w:highlight w:val="none"/>
          <w:lang w:eastAsia="zh-CN"/>
        </w:rPr>
      </w:pPr>
      <w:r>
        <w:rPr>
          <w:rFonts w:ascii="仿宋_GB2312" w:hAnsi="仿宋_GB2312" w:eastAsia="仿宋_GB2312" w:cs="仿宋_GB2312"/>
          <w:b/>
          <w:sz w:val="24"/>
          <w:highlight w:val="none"/>
        </w:rPr>
        <w:t xml:space="preserve"> 六、</w:t>
      </w:r>
      <w:r>
        <w:rPr>
          <w:rFonts w:hint="eastAsia" w:ascii="仿宋_GB2312" w:hAnsi="仿宋_GB2312" w:eastAsia="仿宋_GB2312" w:cs="仿宋_GB2312"/>
          <w:b/>
          <w:sz w:val="24"/>
          <w:highlight w:val="none"/>
          <w:lang w:eastAsia="zh-CN"/>
        </w:rPr>
        <w:t>服务验收要求</w:t>
      </w:r>
    </w:p>
    <w:p w14:paraId="7CB9DF2D">
      <w:pPr>
        <w:pStyle w:val="11"/>
        <w:spacing w:line="360" w:lineRule="auto"/>
        <w:ind w:firstLineChars="200"/>
        <w:jc w:val="left"/>
        <w:rPr>
          <w:rFonts w:hint="default" w:ascii="仿宋_GB2312" w:hAnsi="仿宋_GB2312" w:eastAsia="仿宋_GB2312" w:cs="仿宋_GB2312"/>
          <w:highlight w:val="none"/>
          <w:u w:val="single"/>
          <w:lang w:val="en-US" w:eastAsia="zh-CN"/>
        </w:rPr>
      </w:pPr>
      <w:r>
        <w:rPr>
          <w:rFonts w:hint="eastAsia" w:ascii="仿宋_GB2312" w:hAnsi="仿宋_GB2312" w:eastAsia="仿宋_GB2312" w:cs="仿宋_GB2312"/>
          <w:highlight w:val="none"/>
          <w:lang w:eastAsia="zh-CN"/>
        </w:rPr>
        <w:t>甲方按照采购文件、乙方的响应文件和本协定的服务内容及质量要求组织对乙方提供的服务进行验收。乙方应提供数据详实、隐患明确、整改建议具体的检测报告。</w:t>
      </w:r>
    </w:p>
    <w:p w14:paraId="63CE354B">
      <w:pPr>
        <w:pStyle w:val="11"/>
        <w:spacing w:line="360" w:lineRule="auto"/>
        <w:jc w:val="left"/>
        <w:outlineLvl w:val="2"/>
        <w:rPr>
          <w:highlight w:val="none"/>
        </w:rPr>
      </w:pPr>
      <w:r>
        <w:rPr>
          <w:rFonts w:ascii="仿宋_GB2312" w:hAnsi="仿宋_GB2312" w:eastAsia="仿宋_GB2312" w:cs="仿宋_GB2312"/>
          <w:b/>
          <w:sz w:val="24"/>
          <w:highlight w:val="none"/>
        </w:rPr>
        <w:t xml:space="preserve"> 七、甲方的权利与义务</w:t>
      </w:r>
    </w:p>
    <w:p w14:paraId="62E99B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CN"/>
        </w:rPr>
        <w:t>（一）甲方应在合同约定的时间内提供编制本项目报告所需要的基础数据和技术资料，并协助乙方收集其他有关资料。</w:t>
      </w:r>
    </w:p>
    <w:p w14:paraId="593E8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CN"/>
        </w:rPr>
        <w:t>（二）甲方按照合同约定及时向乙方支付本合同费用。</w:t>
      </w:r>
    </w:p>
    <w:p w14:paraId="70AC87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CN"/>
        </w:rPr>
        <w:t>（三）甲方在合同期内项目发生变化时应及时通知乙方。</w:t>
      </w:r>
    </w:p>
    <w:p w14:paraId="6B1CAED0">
      <w:pPr>
        <w:pStyle w:val="11"/>
        <w:spacing w:line="360" w:lineRule="auto"/>
        <w:jc w:val="left"/>
        <w:rPr>
          <w:rFonts w:ascii="仿宋_GB2312" w:hAnsi="仿宋_GB2312" w:eastAsia="仿宋_GB2312" w:cs="仿宋_GB2312"/>
          <w:highlight w:val="none"/>
        </w:rPr>
      </w:pPr>
    </w:p>
    <w:p w14:paraId="5CA34E63">
      <w:pPr>
        <w:pStyle w:val="11"/>
        <w:spacing w:line="360" w:lineRule="auto"/>
        <w:jc w:val="left"/>
        <w:outlineLvl w:val="2"/>
        <w:rPr>
          <w:highlight w:val="none"/>
        </w:rPr>
      </w:pPr>
      <w:r>
        <w:rPr>
          <w:rFonts w:ascii="仿宋_GB2312" w:hAnsi="仿宋_GB2312" w:eastAsia="仿宋_GB2312" w:cs="仿宋_GB2312"/>
          <w:b/>
          <w:sz w:val="24"/>
          <w:highlight w:val="none"/>
        </w:rPr>
        <w:t xml:space="preserve"> 八、乙方的权利与义务</w:t>
      </w:r>
    </w:p>
    <w:p w14:paraId="3FFA81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（一）乙方应在合同约定的时间内完成项目评估报告，出具符合有关规范要求的项目评估报告。</w:t>
      </w:r>
    </w:p>
    <w:p w14:paraId="6DE53A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（二）乙方出具的评估报告达不到本合同约定要求的，乙方应无条件完善、修改，并不另外收取费用。</w:t>
      </w:r>
    </w:p>
    <w:p w14:paraId="6117BF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（三）乙方应对甲方提供的资料或履行本合同过程中所知悉的甲方未向社会公开的信息、资料等承担保密义务。</w:t>
      </w:r>
    </w:p>
    <w:p w14:paraId="36BE56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（四）乙方应对甲方提供的相关资料及与本项目有关的所有资料承担保密义务，不得擅自使用或向第三方泄露前述资料。本保密义务条款不因合同终止而失效，乙方的保密义务至相应保密资料向社会公开时止。</w:t>
      </w:r>
    </w:p>
    <w:p w14:paraId="2EF062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本保密义务不适用于法定的披露。但法定的披露也仅限于满足相关法律要求所必须披露的程度，且乙方应在披露前将该情况通知甲方，以便甲方可以及时采取保护措施。</w:t>
      </w:r>
    </w:p>
    <w:p w14:paraId="6ABAF28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70" w:leftChars="0" w:right="0" w:firstLine="560" w:firstLineChars="0"/>
        <w:jc w:val="left"/>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乙方应按合同约定向甲方提供评估报告</w:t>
      </w:r>
    </w:p>
    <w:p w14:paraId="50C47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（六）</w:t>
      </w:r>
      <w:r>
        <w:rPr>
          <w:rFonts w:hint="default" w:ascii="仿宋_GB2312" w:hAnsi="仿宋_GB2312" w:eastAsia="仿宋_GB2312" w:cs="仿宋_GB2312"/>
          <w:kern w:val="0"/>
          <w:sz w:val="20"/>
          <w:szCs w:val="20"/>
          <w:highlight w:val="none"/>
          <w:lang w:val="en-US" w:eastAsia="zh-CN"/>
        </w:rPr>
        <w:t>安全责任</w:t>
      </w:r>
      <w:r>
        <w:rPr>
          <w:rFonts w:hint="eastAsia" w:ascii="仿宋_GB2312" w:hAnsi="仿宋_GB2312" w:eastAsia="仿宋_GB2312" w:cs="仿宋_GB2312"/>
          <w:kern w:val="0"/>
          <w:sz w:val="20"/>
          <w:szCs w:val="20"/>
          <w:highlight w:val="none"/>
          <w:lang w:val="en-US" w:eastAsia="zh-CN"/>
        </w:rPr>
        <w:t>：乙方工作人员在进场前需签署《安全生产管理协议书》（详见附件），并提供高压电工证及低压电工证及公司保险复印件提前报备，</w:t>
      </w:r>
      <w:r>
        <w:rPr>
          <w:rFonts w:hint="default" w:ascii="仿宋_GB2312" w:hAnsi="仿宋_GB2312" w:eastAsia="仿宋_GB2312" w:cs="仿宋_GB2312"/>
          <w:kern w:val="0"/>
          <w:sz w:val="20"/>
          <w:szCs w:val="20"/>
          <w:highlight w:val="none"/>
          <w:lang w:val="en-US" w:eastAsia="zh-CN"/>
        </w:rPr>
        <w:t>乙方人员在场期间的人身及财产安全由乙方全权负责，因乙方违规操作造成的事故由乙方承担全部法律责任。</w:t>
      </w:r>
    </w:p>
    <w:p w14:paraId="1F6BAF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（七）</w:t>
      </w:r>
      <w:r>
        <w:rPr>
          <w:rFonts w:hint="default" w:ascii="仿宋_GB2312" w:hAnsi="仿宋_GB2312" w:eastAsia="仿宋_GB2312" w:cs="仿宋_GB2312"/>
          <w:kern w:val="0"/>
          <w:sz w:val="20"/>
          <w:szCs w:val="20"/>
          <w:highlight w:val="none"/>
          <w:lang w:val="en-US" w:eastAsia="zh-CN"/>
        </w:rPr>
        <w:t>隐私保护</w:t>
      </w:r>
      <w:r>
        <w:rPr>
          <w:rFonts w:hint="eastAsia" w:ascii="仿宋_GB2312" w:hAnsi="仿宋_GB2312" w:eastAsia="仿宋_GB2312" w:cs="仿宋_GB2312"/>
          <w:kern w:val="0"/>
          <w:sz w:val="20"/>
          <w:szCs w:val="20"/>
          <w:highlight w:val="none"/>
          <w:lang w:val="en-US" w:eastAsia="zh-CN"/>
        </w:rPr>
        <w:t>：</w:t>
      </w:r>
      <w:r>
        <w:rPr>
          <w:rFonts w:hint="default" w:ascii="仿宋_GB2312" w:hAnsi="仿宋_GB2312" w:eastAsia="仿宋_GB2312" w:cs="仿宋_GB2312"/>
          <w:kern w:val="0"/>
          <w:sz w:val="20"/>
          <w:szCs w:val="20"/>
          <w:highlight w:val="none"/>
          <w:lang w:val="en-US" w:eastAsia="zh-CN"/>
        </w:rPr>
        <w:t>乙方承诺不窥探、不记录、不传播甲方办公区域内的任何文件或信息，违者按合同总额的 20% 支付违约金。</w:t>
      </w:r>
    </w:p>
    <w:p w14:paraId="1F44A8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（八）</w:t>
      </w:r>
      <w:r>
        <w:rPr>
          <w:rFonts w:hint="default" w:ascii="仿宋_GB2312" w:hAnsi="仿宋_GB2312" w:eastAsia="仿宋_GB2312" w:cs="仿宋_GB2312"/>
          <w:kern w:val="0"/>
          <w:sz w:val="20"/>
          <w:szCs w:val="20"/>
          <w:highlight w:val="none"/>
          <w:lang w:val="en-US" w:eastAsia="zh-CN"/>
        </w:rPr>
        <w:t>断电约定</w:t>
      </w:r>
      <w:r>
        <w:rPr>
          <w:rFonts w:hint="eastAsia" w:ascii="仿宋_GB2312" w:hAnsi="仿宋_GB2312" w:eastAsia="仿宋_GB2312" w:cs="仿宋_GB2312"/>
          <w:kern w:val="0"/>
          <w:sz w:val="20"/>
          <w:szCs w:val="20"/>
          <w:highlight w:val="none"/>
          <w:lang w:val="en-US" w:eastAsia="zh-CN"/>
        </w:rPr>
        <w:t>：</w:t>
      </w:r>
      <w:r>
        <w:rPr>
          <w:rFonts w:hint="default" w:ascii="仿宋_GB2312" w:hAnsi="仿宋_GB2312" w:eastAsia="仿宋_GB2312" w:cs="仿宋_GB2312"/>
          <w:kern w:val="0"/>
          <w:sz w:val="20"/>
          <w:szCs w:val="20"/>
          <w:highlight w:val="none"/>
          <w:lang w:val="en-US" w:eastAsia="zh-CN"/>
        </w:rPr>
        <w:t>未经甲方书面同意，乙方不得切断非检测区域的电源。因违规断电造成甲方损失的，乙方须照价赔偿。</w:t>
      </w:r>
    </w:p>
    <w:p w14:paraId="465DDE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（九）</w:t>
      </w:r>
      <w:r>
        <w:rPr>
          <w:rFonts w:hint="default" w:ascii="仿宋_GB2312" w:hAnsi="仿宋_GB2312" w:eastAsia="仿宋_GB2312" w:cs="仿宋_GB2312"/>
          <w:kern w:val="0"/>
          <w:sz w:val="20"/>
          <w:szCs w:val="20"/>
          <w:highlight w:val="none"/>
          <w:lang w:val="en-US" w:eastAsia="zh-CN"/>
        </w:rPr>
        <w:t>工具报备</w:t>
      </w:r>
      <w:r>
        <w:rPr>
          <w:rFonts w:hint="eastAsia" w:ascii="仿宋_GB2312" w:hAnsi="仿宋_GB2312" w:eastAsia="仿宋_GB2312" w:cs="仿宋_GB2312"/>
          <w:kern w:val="0"/>
          <w:sz w:val="20"/>
          <w:szCs w:val="20"/>
          <w:highlight w:val="none"/>
          <w:lang w:val="en-US" w:eastAsia="zh-CN"/>
        </w:rPr>
        <w:t>：所有</w:t>
      </w:r>
      <w:r>
        <w:rPr>
          <w:rFonts w:hint="default" w:ascii="仿宋_GB2312" w:hAnsi="仿宋_GB2312" w:eastAsia="仿宋_GB2312" w:cs="仿宋_GB2312"/>
          <w:kern w:val="0"/>
          <w:sz w:val="20"/>
          <w:szCs w:val="20"/>
          <w:highlight w:val="none"/>
          <w:lang w:val="en-US" w:eastAsia="zh-CN"/>
        </w:rPr>
        <w:t>检测设备或强电工具进场需单独列明清单，经甲方安保部门检查登记后方可带入。</w:t>
      </w:r>
    </w:p>
    <w:p w14:paraId="62DD7F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sans-serif" w:hAnsi="sans-serif" w:eastAsia="sans-serif" w:cs="sans-serif"/>
          <w:sz w:val="21"/>
          <w:szCs w:val="21"/>
        </w:rPr>
      </w:pPr>
    </w:p>
    <w:p w14:paraId="3393E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p>
    <w:p w14:paraId="75FA7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left="0" w:right="0" w:firstLine="560"/>
        <w:jc w:val="left"/>
        <w:rPr>
          <w:rFonts w:hint="default" w:ascii="仿宋_GB2312" w:hAnsi="仿宋_GB2312" w:eastAsia="仿宋_GB2312" w:cs="仿宋_GB2312"/>
          <w:kern w:val="0"/>
          <w:sz w:val="20"/>
          <w:szCs w:val="20"/>
          <w:highlight w:val="none"/>
          <w:lang w:val="en-US" w:eastAsia="zh-CN"/>
        </w:rPr>
      </w:pPr>
    </w:p>
    <w:p w14:paraId="64A3BA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5" w:lineRule="atLeast"/>
        <w:ind w:right="0" w:rightChars="0"/>
        <w:jc w:val="left"/>
        <w:rPr>
          <w:rFonts w:hint="default" w:ascii="仿宋_GB2312" w:hAnsi="仿宋_GB2312" w:eastAsia="仿宋_GB2312" w:cs="仿宋_GB2312"/>
          <w:kern w:val="0"/>
          <w:sz w:val="20"/>
          <w:szCs w:val="20"/>
          <w:highlight w:val="none"/>
          <w:lang w:val="en-US" w:eastAsia="zh-CN"/>
        </w:rPr>
      </w:pPr>
    </w:p>
    <w:p w14:paraId="63ED71EA">
      <w:pPr>
        <w:pStyle w:val="11"/>
        <w:spacing w:line="360" w:lineRule="auto"/>
        <w:jc w:val="left"/>
        <w:rPr>
          <w:rFonts w:ascii="仿宋_GB2312" w:hAnsi="仿宋_GB2312" w:eastAsia="仿宋_GB2312" w:cs="仿宋_GB2312"/>
          <w:highlight w:val="none"/>
        </w:rPr>
      </w:pPr>
    </w:p>
    <w:p w14:paraId="36545DB1">
      <w:pPr>
        <w:pStyle w:val="11"/>
        <w:numPr>
          <w:ilvl w:val="0"/>
          <w:numId w:val="3"/>
        </w:numPr>
        <w:spacing w:line="360" w:lineRule="auto"/>
        <w:ind w:left="120" w:leftChars="0" w:firstLine="0" w:firstLineChars="0"/>
        <w:jc w:val="left"/>
        <w:outlineLvl w:val="2"/>
        <w:rPr>
          <w:rFonts w:hint="eastAsia" w:ascii="仿宋_GB2312" w:hAnsi="仿宋_GB2312" w:eastAsia="仿宋_GB2312" w:cs="仿宋_GB2312"/>
          <w:kern w:val="0"/>
          <w:sz w:val="20"/>
          <w:szCs w:val="20"/>
          <w:highlight w:val="none"/>
          <w:lang w:val="en-US" w:eastAsia="zh-CN" w:bidi="ar-SA"/>
        </w:rPr>
      </w:pPr>
      <w:r>
        <w:rPr>
          <w:rFonts w:ascii="仿宋_GB2312" w:hAnsi="仿宋_GB2312" w:eastAsia="仿宋_GB2312" w:cs="仿宋_GB2312"/>
          <w:b/>
          <w:sz w:val="24"/>
          <w:highlight w:val="none"/>
        </w:rPr>
        <w:t>资金支付方式、时间和条件</w:t>
      </w:r>
      <w:r>
        <w:rPr>
          <w:highlight w:val="none"/>
        </w:rPr>
        <w:br w:type="textWrapping"/>
      </w:r>
      <w:r>
        <w:rPr>
          <w:rFonts w:hint="eastAsia" w:ascii="仿宋_GB2312" w:hAnsi="仿宋_GB2312" w:eastAsia="仿宋_GB2312" w:cs="仿宋_GB2312"/>
          <w:kern w:val="0"/>
          <w:sz w:val="20"/>
          <w:szCs w:val="20"/>
          <w:highlight w:val="none"/>
          <w:lang w:val="en-US" w:eastAsia="zh-CN" w:bidi="ar-SA"/>
        </w:rPr>
        <w:t>1.经采购人验收合格后，供应商开具国家核发正规发票结算，采购人在收到发票30日内一次性付款。</w:t>
      </w:r>
    </w:p>
    <w:p w14:paraId="02C72673">
      <w:pPr>
        <w:pStyle w:val="11"/>
        <w:numPr>
          <w:ilvl w:val="0"/>
          <w:numId w:val="0"/>
        </w:numPr>
        <w:spacing w:line="360" w:lineRule="auto"/>
        <w:ind w:left="120" w:leftChars="0"/>
        <w:jc w:val="left"/>
        <w:outlineLvl w:val="2"/>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2、采购人可选择通过包括但不限于银行转账、电汇、网上支付、银行汇票、商业汇票、信用证、保理、E信通方式支付。</w:t>
      </w:r>
    </w:p>
    <w:p w14:paraId="5EA21407">
      <w:pPr>
        <w:pStyle w:val="11"/>
        <w:spacing w:line="360" w:lineRule="auto"/>
        <w:jc w:val="left"/>
        <w:outlineLvl w:val="2"/>
        <w:rPr>
          <w:highlight w:val="none"/>
        </w:rPr>
      </w:pPr>
      <w:r>
        <w:rPr>
          <w:rFonts w:ascii="仿宋_GB2312" w:hAnsi="仿宋_GB2312" w:eastAsia="仿宋_GB2312" w:cs="仿宋_GB2312"/>
          <w:b/>
          <w:sz w:val="24"/>
          <w:highlight w:val="none"/>
        </w:rPr>
        <w:t xml:space="preserve"> 十、履约保证金</w:t>
      </w:r>
    </w:p>
    <w:p w14:paraId="5C036A5E">
      <w:pPr>
        <w:pStyle w:val="11"/>
        <w:spacing w:line="360" w:lineRule="auto"/>
        <w:ind w:firstLineChars="200"/>
        <w:jc w:val="left"/>
        <w:rPr>
          <w:highlight w:val="none"/>
        </w:rPr>
      </w:pPr>
      <w:r>
        <w:rPr>
          <w:rFonts w:ascii="仿宋_GB2312" w:hAnsi="仿宋_GB2312" w:eastAsia="仿宋_GB2312" w:cs="仿宋_GB2312"/>
          <w:highlight w:val="none"/>
        </w:rPr>
        <w:t xml:space="preserve"> □有，</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无。具体如下：（按照采购文件规定填写）。</w:t>
      </w:r>
    </w:p>
    <w:p w14:paraId="092EA187">
      <w:pPr>
        <w:pStyle w:val="11"/>
        <w:spacing w:line="360" w:lineRule="auto"/>
        <w:ind w:firstLineChars="200"/>
        <w:jc w:val="left"/>
        <w:rPr>
          <w:highlight w:val="none"/>
        </w:rPr>
      </w:pPr>
      <w:r>
        <w:rPr>
          <w:rFonts w:ascii="仿宋_GB2312" w:hAnsi="仿宋_GB2312" w:eastAsia="仿宋_GB2312" w:cs="仿宋_GB2312"/>
          <w:highlight w:val="none"/>
        </w:rPr>
        <w:t xml:space="preserve">10.1乙方向甲方缴纳人民币 </w:t>
      </w:r>
      <w:r>
        <w:rPr>
          <w:rFonts w:hint="default" w:ascii="仿宋_GB2312" w:hAnsi="仿宋_GB2312" w:eastAsia="仿宋_GB2312" w:cs="仿宋_GB2312"/>
          <w:highlight w:val="none"/>
          <w:u w:val="single"/>
          <w:lang w:val="en-US"/>
        </w:rPr>
        <w:t xml:space="preserve">       </w:t>
      </w:r>
      <w:r>
        <w:rPr>
          <w:rFonts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（大写： ）</w:t>
      </w:r>
      <w:r>
        <w:rPr>
          <w:rFonts w:ascii="仿宋_GB2312" w:hAnsi="仿宋_GB2312" w:eastAsia="仿宋_GB2312" w:cs="仿宋_GB2312"/>
          <w:highlight w:val="none"/>
        </w:rPr>
        <w:t>元作为本合同的履约保证金。</w:t>
      </w:r>
    </w:p>
    <w:p w14:paraId="5A634A11">
      <w:pPr>
        <w:pStyle w:val="11"/>
        <w:spacing w:line="360" w:lineRule="auto"/>
        <w:ind w:firstLineChars="200"/>
        <w:jc w:val="left"/>
        <w:rPr>
          <w:highlight w:val="none"/>
        </w:rPr>
      </w:pPr>
      <w:r>
        <w:rPr>
          <w:rFonts w:ascii="仿宋_GB2312" w:hAnsi="仿宋_GB2312" w:eastAsia="仿宋_GB2312" w:cs="仿宋_GB2312"/>
          <w:highlight w:val="none"/>
        </w:rPr>
        <w:t>10.2履约保证金缴纳形式：</w:t>
      </w:r>
      <w:r>
        <w:rPr>
          <w:rFonts w:hint="default" w:ascii="仿宋_GB2312" w:hAnsi="仿宋_GB2312" w:eastAsia="仿宋_GB2312" w:cs="仿宋_GB2312"/>
          <w:highlight w:val="none"/>
          <w:u w:val="single"/>
          <w:lang w:val="en-US"/>
        </w:rPr>
        <w:t xml:space="preserve">                     </w:t>
      </w:r>
      <w:r>
        <w:rPr>
          <w:rFonts w:hint="default" w:ascii="仿宋_GB2312" w:hAnsi="仿宋_GB2312" w:eastAsia="仿宋_GB2312" w:cs="仿宋_GB2312"/>
          <w:highlight w:val="none"/>
          <w:lang w:val="en-US"/>
        </w:rPr>
        <w:t xml:space="preserve">  </w:t>
      </w:r>
    </w:p>
    <w:p w14:paraId="6A463AAB">
      <w:pPr>
        <w:pStyle w:val="11"/>
        <w:spacing w:line="360" w:lineRule="auto"/>
        <w:ind w:firstLineChars="200"/>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5B6AAEB0">
      <w:pPr>
        <w:pStyle w:val="11"/>
        <w:spacing w:line="360" w:lineRule="auto"/>
        <w:jc w:val="left"/>
        <w:outlineLvl w:val="2"/>
        <w:rPr>
          <w:rFonts w:hint="eastAsia" w:ascii="仿宋_GB2312" w:hAnsi="仿宋_GB2312" w:eastAsia="仿宋_GB2312" w:cs="仿宋_GB2312"/>
          <w:kern w:val="0"/>
          <w:sz w:val="20"/>
          <w:szCs w:val="20"/>
          <w:highlight w:val="none"/>
          <w:lang w:val="en-US" w:eastAsia="zh-CN" w:bidi="ar-SA"/>
        </w:rPr>
      </w:pPr>
      <w:r>
        <w:rPr>
          <w:rFonts w:ascii="仿宋_GB2312" w:hAnsi="仿宋_GB2312" w:eastAsia="仿宋_GB2312" w:cs="仿宋_GB2312"/>
          <w:b/>
          <w:sz w:val="24"/>
          <w:highlight w:val="none"/>
        </w:rPr>
        <w:t xml:space="preserve"> 十一、合同期限</w:t>
      </w:r>
      <w:r>
        <w:rPr>
          <w:highlight w:val="none"/>
        </w:rPr>
        <w:br w:type="textWrapping"/>
      </w:r>
      <w:r>
        <w:rPr>
          <w:rFonts w:hint="eastAsia" w:ascii="仿宋_GB2312" w:hAnsi="仿宋_GB2312" w:eastAsia="仿宋_GB2312" w:cs="仿宋_GB2312"/>
          <w:kern w:val="0"/>
          <w:sz w:val="20"/>
          <w:szCs w:val="20"/>
          <w:highlight w:val="none"/>
          <w:lang w:val="en-US" w:eastAsia="zh-CN" w:bidi="ar-SA"/>
        </w:rPr>
        <w:t>至本项目服务费支付完毕为止。</w:t>
      </w:r>
    </w:p>
    <w:p w14:paraId="55CCEEF3">
      <w:pPr>
        <w:pStyle w:val="11"/>
        <w:spacing w:line="360" w:lineRule="auto"/>
        <w:jc w:val="left"/>
        <w:outlineLvl w:val="2"/>
        <w:rPr>
          <w:highlight w:val="none"/>
        </w:rPr>
      </w:pPr>
      <w:r>
        <w:rPr>
          <w:rFonts w:ascii="仿宋_GB2312" w:hAnsi="仿宋_GB2312" w:eastAsia="仿宋_GB2312" w:cs="仿宋_GB2312"/>
          <w:b/>
          <w:sz w:val="24"/>
          <w:highlight w:val="none"/>
        </w:rPr>
        <w:t xml:space="preserve"> 十二、保密条款</w:t>
      </w:r>
    </w:p>
    <w:p w14:paraId="58D56429">
      <w:pPr>
        <w:pStyle w:val="11"/>
        <w:spacing w:line="360" w:lineRule="auto"/>
        <w:ind w:firstLineChars="200"/>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333F4968">
      <w:pPr>
        <w:pStyle w:val="11"/>
        <w:spacing w:line="360" w:lineRule="auto"/>
        <w:ind w:firstLineChars="200"/>
        <w:jc w:val="left"/>
        <w:rPr>
          <w:rFonts w:hint="default" w:eastAsia="仿宋_GB2312"/>
          <w:highlight w:val="none"/>
          <w:u w:val="single"/>
          <w:lang w:val="en-US" w:eastAsia="zh-CN"/>
        </w:rPr>
      </w:pPr>
      <w:r>
        <w:rPr>
          <w:rFonts w:ascii="仿宋_GB2312" w:hAnsi="仿宋_GB2312" w:eastAsia="仿宋_GB2312" w:cs="仿宋_GB2312"/>
          <w:highlight w:val="none"/>
        </w:rPr>
        <w:t>12.2其他</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p>
    <w:p w14:paraId="36D20D9B">
      <w:pPr>
        <w:pStyle w:val="11"/>
        <w:spacing w:line="360" w:lineRule="auto"/>
        <w:jc w:val="left"/>
        <w:outlineLvl w:val="2"/>
        <w:rPr>
          <w:highlight w:val="none"/>
        </w:rPr>
      </w:pPr>
      <w:r>
        <w:rPr>
          <w:rFonts w:ascii="仿宋_GB2312" w:hAnsi="仿宋_GB2312" w:eastAsia="仿宋_GB2312" w:cs="仿宋_GB2312"/>
          <w:b/>
          <w:sz w:val="24"/>
          <w:highlight w:val="none"/>
        </w:rPr>
        <w:t xml:space="preserve"> 十三、违约责任</w:t>
      </w:r>
    </w:p>
    <w:p w14:paraId="17C9D2FD">
      <w:pPr>
        <w:pStyle w:val="11"/>
        <w:spacing w:line="360" w:lineRule="auto"/>
        <w:jc w:val="left"/>
        <w:rPr>
          <w:highlight w:val="none"/>
        </w:rPr>
      </w:pPr>
      <w:r>
        <w:rPr>
          <w:rFonts w:ascii="仿宋_GB2312" w:hAnsi="仿宋_GB2312" w:eastAsia="仿宋_GB2312" w:cs="仿宋_GB2312"/>
          <w:highlight w:val="none"/>
        </w:rPr>
        <w:t>13.1甲方违约责任</w:t>
      </w:r>
    </w:p>
    <w:p w14:paraId="7C2797C9">
      <w:pPr>
        <w:pStyle w:val="11"/>
        <w:spacing w:line="360" w:lineRule="auto"/>
        <w:ind w:firstLineChars="200"/>
        <w:jc w:val="left"/>
        <w:rPr>
          <w:highlight w:val="none"/>
        </w:rPr>
      </w:pPr>
      <w:r>
        <w:rPr>
          <w:rFonts w:ascii="仿宋_GB2312" w:hAnsi="仿宋_GB2312" w:eastAsia="仿宋_GB2312" w:cs="仿宋_GB2312"/>
          <w:highlight w:val="none"/>
        </w:rPr>
        <w:t>（1）甲方无正当理由拒绝乙方提供合格服务的，甲方应向乙方偿付所拒收合同总价</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的违约金</w:t>
      </w:r>
    </w:p>
    <w:p w14:paraId="1FB357D8">
      <w:pPr>
        <w:pStyle w:val="11"/>
        <w:spacing w:line="360" w:lineRule="auto"/>
        <w:ind w:firstLineChars="200"/>
        <w:jc w:val="left"/>
        <w:rPr>
          <w:highlight w:val="none"/>
        </w:rPr>
      </w:pPr>
      <w:r>
        <w:rPr>
          <w:rFonts w:ascii="仿宋_GB2312" w:hAnsi="仿宋_GB2312" w:eastAsia="仿宋_GB2312" w:cs="仿宋_GB2312"/>
          <w:highlight w:val="none"/>
        </w:rPr>
        <w:t>（2）甲方无故逾期验收和办理合同款项支付手续的,甲方应按逾期付款总额每日</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向乙方支付违约金。</w:t>
      </w:r>
    </w:p>
    <w:p w14:paraId="2DAA4050">
      <w:pPr>
        <w:pStyle w:val="11"/>
        <w:spacing w:line="360" w:lineRule="auto"/>
        <w:ind w:firstLineChars="200"/>
        <w:jc w:val="left"/>
        <w:rPr>
          <w:rFonts w:hint="default" w:eastAsia="仿宋_GB2312"/>
          <w:highlight w:val="none"/>
          <w:u w:val="single"/>
          <w:lang w:val="en-US" w:eastAsia="zh-CN"/>
        </w:rPr>
      </w:pPr>
      <w:r>
        <w:rPr>
          <w:rFonts w:ascii="仿宋_GB2312" w:hAnsi="仿宋_GB2312" w:eastAsia="仿宋_GB2312" w:cs="仿宋_GB2312"/>
          <w:highlight w:val="none"/>
        </w:rPr>
        <w:t>（3）其他违约情形</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lang w:val="en-US" w:eastAsia="zh-CN"/>
        </w:rPr>
        <w:t xml:space="preserve"> </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p>
    <w:p w14:paraId="7D31DFF9">
      <w:pPr>
        <w:pStyle w:val="11"/>
        <w:spacing w:line="360" w:lineRule="auto"/>
        <w:jc w:val="left"/>
        <w:rPr>
          <w:highlight w:val="none"/>
        </w:rPr>
      </w:pPr>
      <w:r>
        <w:rPr>
          <w:rFonts w:ascii="仿宋_GB2312" w:hAnsi="仿宋_GB2312" w:eastAsia="仿宋_GB2312" w:cs="仿宋_GB2312"/>
          <w:highlight w:val="none"/>
        </w:rPr>
        <w:t>13.2乙方违约责任</w:t>
      </w:r>
    </w:p>
    <w:p w14:paraId="457AE09B">
      <w:pPr>
        <w:pStyle w:val="11"/>
        <w:spacing w:line="360" w:lineRule="auto"/>
        <w:ind w:firstLineChars="200"/>
        <w:jc w:val="left"/>
        <w:rPr>
          <w:highlight w:val="none"/>
        </w:rPr>
      </w:pPr>
      <w:r>
        <w:rPr>
          <w:rFonts w:ascii="仿宋_GB2312" w:hAnsi="仿宋_GB2312" w:eastAsia="仿宋_GB2312" w:cs="仿宋_GB2312"/>
          <w:highlight w:val="none"/>
        </w:rPr>
        <w:t>（1）乙方逾期履行服务的，乙方应按逾期交付总额每日</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千分之一</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向甲方支付违约金，由甲方从待付货款中扣除。乙方无正当理由逾期超过约定日期</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1日</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仍不能交付的，视为“乙方不按合同约定履约”；</w:t>
      </w:r>
    </w:p>
    <w:p w14:paraId="2563B1AD">
      <w:pPr>
        <w:pStyle w:val="11"/>
        <w:spacing w:line="360" w:lineRule="auto"/>
        <w:ind w:firstLineChars="200"/>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2DDBB971">
      <w:pPr>
        <w:pStyle w:val="11"/>
        <w:spacing w:line="360" w:lineRule="auto"/>
        <w:ind w:firstLineChars="200"/>
        <w:jc w:val="left"/>
        <w:rPr>
          <w:rFonts w:hint="eastAsia" w:ascii="仿宋_GB2312" w:hAnsi="仿宋_GB2312" w:eastAsia="仿宋_GB2312" w:cs="仿宋_GB2312"/>
          <w:kern w:val="0"/>
          <w:sz w:val="20"/>
          <w:szCs w:val="20"/>
          <w:highlight w:val="none"/>
          <w:lang w:val="en-US" w:eastAsia="zh-CN" w:bidi="ar-SA"/>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r>
        <w:rPr>
          <w:rFonts w:hint="eastAsia" w:ascii="仿宋_GB2312" w:hAnsi="仿宋_GB2312" w:eastAsia="仿宋_GB2312" w:cs="仿宋_GB2312"/>
          <w:kern w:val="0"/>
          <w:sz w:val="20"/>
          <w:szCs w:val="20"/>
          <w:highlight w:val="none"/>
          <w:lang w:val="en-US" w:eastAsia="zh-CN" w:bidi="ar-SA"/>
        </w:rPr>
        <w:t>供应商应支付合同总额20%的违约金且采购人有权解除合同。</w:t>
      </w:r>
    </w:p>
    <w:p w14:paraId="06B5E5C3">
      <w:pPr>
        <w:pStyle w:val="11"/>
        <w:spacing w:line="360" w:lineRule="auto"/>
        <w:ind w:firstLineChars="200"/>
        <w:jc w:val="left"/>
        <w:rPr>
          <w:rFonts w:hint="default" w:eastAsia="仿宋_GB2312"/>
          <w:highlight w:val="none"/>
          <w:u w:val="single"/>
          <w:lang w:val="en-US" w:eastAsia="zh-CN"/>
        </w:rPr>
      </w:pPr>
      <w:r>
        <w:rPr>
          <w:rFonts w:ascii="仿宋_GB2312" w:hAnsi="仿宋_GB2312" w:eastAsia="仿宋_GB2312" w:cs="仿宋_GB2312"/>
          <w:highlight w:val="none"/>
        </w:rPr>
        <w:t>（4）其他违约情形</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p>
    <w:p w14:paraId="1F1E00F4">
      <w:pPr>
        <w:pStyle w:val="11"/>
        <w:spacing w:line="360" w:lineRule="auto"/>
        <w:jc w:val="left"/>
        <w:outlineLvl w:val="2"/>
        <w:rPr>
          <w:highlight w:val="none"/>
        </w:rPr>
      </w:pPr>
      <w:r>
        <w:rPr>
          <w:rFonts w:ascii="仿宋_GB2312" w:hAnsi="仿宋_GB2312" w:eastAsia="仿宋_GB2312" w:cs="仿宋_GB2312"/>
          <w:b/>
          <w:sz w:val="24"/>
          <w:highlight w:val="none"/>
        </w:rPr>
        <w:t xml:space="preserve"> 十四、不可抗力事件处理</w:t>
      </w:r>
    </w:p>
    <w:p w14:paraId="09652722">
      <w:pPr>
        <w:pStyle w:val="11"/>
        <w:spacing w:line="360" w:lineRule="auto"/>
        <w:ind w:firstLineChars="200"/>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78B3745">
      <w:pPr>
        <w:pStyle w:val="11"/>
        <w:spacing w:line="360" w:lineRule="auto"/>
        <w:jc w:val="left"/>
        <w:outlineLvl w:val="2"/>
        <w:rPr>
          <w:highlight w:val="none"/>
        </w:rPr>
      </w:pPr>
      <w:r>
        <w:rPr>
          <w:rFonts w:ascii="仿宋_GB2312" w:hAnsi="仿宋_GB2312" w:eastAsia="仿宋_GB2312" w:cs="仿宋_GB2312"/>
          <w:b/>
          <w:sz w:val="24"/>
          <w:highlight w:val="none"/>
        </w:rPr>
        <w:t xml:space="preserve"> 十五、解决争议的方法</w:t>
      </w:r>
    </w:p>
    <w:p w14:paraId="7D4DE08A">
      <w:pPr>
        <w:pStyle w:val="11"/>
        <w:spacing w:line="360" w:lineRule="auto"/>
        <w:ind w:firstLineChars="200"/>
        <w:jc w:val="left"/>
        <w:rPr>
          <w:highlight w:val="none"/>
        </w:rPr>
      </w:pPr>
      <w:r>
        <w:rPr>
          <w:rFonts w:ascii="仿宋_GB2312" w:hAnsi="仿宋_GB2312" w:eastAsia="仿宋_GB2312" w:cs="仿宋_GB2312"/>
          <w:highlight w:val="none"/>
        </w:rPr>
        <w:t>15.1甲、乙双方协商解决。</w:t>
      </w:r>
    </w:p>
    <w:p w14:paraId="25F8953C">
      <w:pPr>
        <w:pStyle w:val="11"/>
        <w:spacing w:line="360" w:lineRule="auto"/>
        <w:ind w:firstLineChars="200"/>
        <w:jc w:val="left"/>
        <w:rPr>
          <w:highlight w:val="none"/>
        </w:rPr>
      </w:pPr>
      <w:r>
        <w:rPr>
          <w:rFonts w:ascii="仿宋_GB2312" w:hAnsi="仿宋_GB2312" w:eastAsia="仿宋_GB2312" w:cs="仿宋_GB2312"/>
          <w:highlight w:val="none"/>
        </w:rPr>
        <w:t>15.2若协商解决不成，双方明确按以下第</w:t>
      </w:r>
      <w:r>
        <w:rPr>
          <w:rFonts w:hint="default" w:ascii="仿宋_GB2312" w:hAnsi="仿宋_GB2312" w:eastAsia="仿宋_GB2312" w:cs="仿宋_GB2312"/>
          <w:highlight w:val="none"/>
          <w:u w:val="single"/>
          <w:lang w:val="en-US"/>
        </w:rPr>
        <w:t xml:space="preserve"> </w:t>
      </w:r>
      <w:r>
        <w:rPr>
          <w:rFonts w:hint="eastAsia" w:ascii="仿宋_GB2312" w:hAnsi="仿宋_GB2312" w:eastAsia="仿宋_GB2312" w:cs="仿宋_GB2312"/>
          <w:highlight w:val="none"/>
          <w:u w:val="single"/>
          <w:lang w:val="en-US" w:eastAsia="zh-CN"/>
        </w:rPr>
        <w:t>1</w:t>
      </w:r>
      <w:r>
        <w:rPr>
          <w:rFonts w:hint="default" w:ascii="仿宋_GB2312" w:hAnsi="仿宋_GB2312" w:eastAsia="仿宋_GB2312" w:cs="仿宋_GB2312"/>
          <w:highlight w:val="none"/>
          <w:u w:val="single"/>
          <w:lang w:val="en-US"/>
        </w:rPr>
        <w:t xml:space="preserve"> </w:t>
      </w:r>
      <w:r>
        <w:rPr>
          <w:rFonts w:ascii="仿宋_GB2312" w:hAnsi="仿宋_GB2312" w:eastAsia="仿宋_GB2312" w:cs="仿宋_GB2312"/>
          <w:highlight w:val="none"/>
        </w:rPr>
        <w:t>种方式解决：</w:t>
      </w:r>
    </w:p>
    <w:p w14:paraId="2456885D">
      <w:pPr>
        <w:keepNext w:val="0"/>
        <w:keepLines w:val="0"/>
        <w:widowControl/>
        <w:suppressLineNumbers w:val="0"/>
        <w:jc w:val="left"/>
        <w:rPr>
          <w:rFonts w:hint="eastAsia" w:ascii="仿宋_GB2312" w:hAnsi="仿宋_GB2312" w:eastAsia="仿宋_GB2312" w:cs="仿宋_GB2312"/>
          <w:kern w:val="0"/>
          <w:sz w:val="20"/>
          <w:szCs w:val="20"/>
          <w:highlight w:val="none"/>
          <w:lang w:val="en-US" w:eastAsia="zh-Hans"/>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1、提交仲裁委员会仲裁</w:t>
      </w:r>
      <w:bookmarkStart w:id="19" w:name="OLE_LINK11"/>
      <w:r>
        <w:rPr>
          <w:rFonts w:ascii="仿宋_GB2312" w:hAnsi="仿宋_GB2312" w:eastAsia="仿宋_GB2312" w:cs="仿宋_GB2312"/>
          <w:highlight w:val="none"/>
        </w:rPr>
        <w:t>，具体如下：</w:t>
      </w:r>
      <w:r>
        <w:rPr>
          <w:rFonts w:hint="default" w:ascii="仿宋_GB2312" w:hAnsi="仿宋_GB2312" w:eastAsia="仿宋_GB2312" w:cs="仿宋_GB2312"/>
          <w:highlight w:val="none"/>
          <w:lang w:val="en-US"/>
        </w:rPr>
        <w:t xml:space="preserve"> </w:t>
      </w:r>
      <w:r>
        <w:rPr>
          <w:rFonts w:hint="default" w:ascii="仿宋_GB2312" w:hAnsi="仿宋_GB2312" w:eastAsia="仿宋_GB2312" w:cs="仿宋_GB2312"/>
          <w:kern w:val="0"/>
          <w:sz w:val="20"/>
          <w:szCs w:val="20"/>
          <w:highlight w:val="none"/>
          <w:lang w:val="en-US" w:eastAsia="zh-Hans"/>
        </w:rPr>
        <w:t xml:space="preserve">  </w:t>
      </w:r>
      <w:r>
        <w:rPr>
          <w:rFonts w:hint="eastAsia" w:ascii="仿宋_GB2312" w:hAnsi="仿宋_GB2312" w:eastAsia="仿宋_GB2312" w:cs="仿宋_GB2312"/>
          <w:kern w:val="0"/>
          <w:sz w:val="20"/>
          <w:szCs w:val="20"/>
          <w:highlight w:val="none"/>
          <w:lang w:val="en-US" w:eastAsia="zh-CN"/>
        </w:rPr>
        <w:t>因合同及合同有关事项发生的争议，应首先进行友好协商，协商不成的，各方均同意提交福州仲裁委员会仲裁</w:t>
      </w:r>
    </w:p>
    <w:bookmarkEnd w:id="19"/>
    <w:p w14:paraId="59F014C1">
      <w:pPr>
        <w:pStyle w:val="11"/>
        <w:spacing w:line="360" w:lineRule="auto"/>
        <w:ind w:firstLineChars="200"/>
        <w:jc w:val="left"/>
        <w:rPr>
          <w:highlight w:val="none"/>
        </w:rPr>
      </w:pPr>
      <w:r>
        <w:rPr>
          <w:rFonts w:ascii="仿宋_GB2312" w:hAnsi="仿宋_GB2312" w:eastAsia="仿宋_GB2312" w:cs="仿宋_GB2312"/>
          <w:highlight w:val="none"/>
        </w:rPr>
        <w:t>2、向人民法院提起诉讼，具体如下：</w:t>
      </w:r>
      <w:r>
        <w:rPr>
          <w:rFonts w:hint="default" w:ascii="仿宋_GB2312" w:hAnsi="仿宋_GB2312" w:eastAsia="仿宋_GB2312" w:cs="仿宋_GB2312"/>
          <w:highlight w:val="none"/>
          <w:lang w:val="en-US"/>
        </w:rPr>
        <w:t xml:space="preserve"> </w:t>
      </w:r>
      <w:r>
        <w:rPr>
          <w:rFonts w:hint="default" w:ascii="仿宋_GB2312" w:hAnsi="仿宋_GB2312" w:eastAsia="仿宋_GB2312" w:cs="仿宋_GB2312"/>
          <w:highlight w:val="none"/>
          <w:u w:val="single"/>
          <w:lang w:val="en-US"/>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rPr>
        <w:t xml:space="preserve">     </w:t>
      </w:r>
    </w:p>
    <w:p w14:paraId="3768EE1C">
      <w:pPr>
        <w:pStyle w:val="11"/>
        <w:spacing w:line="360" w:lineRule="auto"/>
        <w:jc w:val="left"/>
        <w:outlineLvl w:val="2"/>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591EC05A">
      <w:pPr>
        <w:pStyle w:val="11"/>
        <w:spacing w:line="360" w:lineRule="auto"/>
        <w:jc w:val="left"/>
        <w:outlineLvl w:val="2"/>
        <w:rPr>
          <w:highlight w:val="none"/>
        </w:rPr>
      </w:pPr>
      <w:r>
        <w:rPr>
          <w:rFonts w:ascii="仿宋_GB2312" w:hAnsi="仿宋_GB2312" w:eastAsia="仿宋_GB2312" w:cs="仿宋_GB2312"/>
          <w:b/>
          <w:sz w:val="24"/>
          <w:highlight w:val="none"/>
        </w:rPr>
        <w:t xml:space="preserve"> 十七、其他约定</w:t>
      </w:r>
    </w:p>
    <w:p w14:paraId="6947BDE3">
      <w:pPr>
        <w:pStyle w:val="11"/>
        <w:spacing w:line="360" w:lineRule="auto"/>
        <w:ind w:firstLineChars="200"/>
        <w:jc w:val="left"/>
        <w:rPr>
          <w:highlight w:val="none"/>
        </w:rPr>
      </w:pPr>
      <w:r>
        <w:rPr>
          <w:rFonts w:ascii="仿宋_GB2312" w:hAnsi="仿宋_GB2312" w:eastAsia="仿宋_GB2312" w:cs="仿宋_GB2312"/>
          <w:highlight w:val="none"/>
        </w:rPr>
        <w:t>17.1合同文件与本合同具有同等法律效力。</w:t>
      </w:r>
    </w:p>
    <w:p w14:paraId="73A4A911">
      <w:pPr>
        <w:pStyle w:val="11"/>
        <w:spacing w:line="360" w:lineRule="auto"/>
        <w:ind w:firstLineChars="200"/>
        <w:jc w:val="left"/>
        <w:rPr>
          <w:rFonts w:ascii="仿宋_GB2312" w:hAnsi="仿宋_GB2312" w:eastAsia="仿宋_GB2312" w:cs="仿宋_GB2312"/>
          <w:highlight w:val="none"/>
        </w:rPr>
      </w:pPr>
      <w:r>
        <w:rPr>
          <w:rFonts w:ascii="仿宋_GB2312" w:hAnsi="仿宋_GB2312" w:eastAsia="仿宋_GB2312" w:cs="仿宋_GB2312"/>
          <w:highlight w:val="none"/>
        </w:rPr>
        <w:t>17.2合同生效：合同经双方法定代表人或委托代理人签</w:t>
      </w:r>
      <w:r>
        <w:rPr>
          <w:rFonts w:hint="eastAsia" w:ascii="仿宋_GB2312" w:hAnsi="仿宋_GB2312" w:eastAsia="仿宋_GB2312" w:cs="仿宋_GB2312"/>
          <w:highlight w:val="none"/>
          <w:lang w:eastAsia="zh-CN"/>
        </w:rPr>
        <w:t>章</w:t>
      </w:r>
      <w:r>
        <w:rPr>
          <w:rFonts w:ascii="仿宋_GB2312" w:hAnsi="仿宋_GB2312" w:eastAsia="仿宋_GB2312" w:cs="仿宋_GB2312"/>
          <w:highlight w:val="none"/>
        </w:rPr>
        <w:t>并加盖</w:t>
      </w:r>
      <w:r>
        <w:rPr>
          <w:rFonts w:hint="eastAsia" w:ascii="仿宋_GB2312" w:hAnsi="仿宋_GB2312" w:eastAsia="仿宋_GB2312" w:cs="仿宋_GB2312"/>
          <w:highlight w:val="none"/>
          <w:lang w:eastAsia="zh-CN"/>
        </w:rPr>
        <w:t>合同章（或公章）</w:t>
      </w:r>
      <w:r>
        <w:rPr>
          <w:rFonts w:ascii="仿宋_GB2312" w:hAnsi="仿宋_GB2312" w:eastAsia="仿宋_GB2312" w:cs="仿宋_GB2312"/>
          <w:highlight w:val="none"/>
        </w:rPr>
        <w:t>后生效；</w:t>
      </w:r>
    </w:p>
    <w:p w14:paraId="049FA1DA">
      <w:pPr>
        <w:pStyle w:val="11"/>
        <w:spacing w:line="360" w:lineRule="auto"/>
        <w:ind w:firstLineChars="200"/>
        <w:jc w:val="left"/>
        <w:rPr>
          <w:highlight w:val="none"/>
        </w:rPr>
      </w:pPr>
      <w:r>
        <w:rPr>
          <w:rFonts w:ascii="仿宋_GB2312" w:hAnsi="仿宋_GB2312" w:eastAsia="仿宋_GB2312" w:cs="仿宋_GB2312"/>
          <w:highlight w:val="none"/>
        </w:rPr>
        <w:t>17.3本合同未尽事宜，遵照《中华人民共和国民法典》有关条文执行。</w:t>
      </w:r>
    </w:p>
    <w:p w14:paraId="374CBD40">
      <w:pPr>
        <w:pStyle w:val="11"/>
        <w:spacing w:line="360" w:lineRule="auto"/>
        <w:ind w:firstLineChars="200"/>
        <w:jc w:val="left"/>
        <w:rPr>
          <w:rFonts w:hint="eastAsia" w:eastAsia="仿宋_GB2312"/>
          <w:highlight w:val="none"/>
          <w:lang w:eastAsia="zh-CN"/>
        </w:rPr>
      </w:pPr>
      <w:r>
        <w:rPr>
          <w:rFonts w:ascii="仿宋_GB2312" w:hAnsi="仿宋_GB2312" w:eastAsia="仿宋_GB2312" w:cs="仿宋_GB2312"/>
          <w:highlight w:val="none"/>
        </w:rPr>
        <w:t>17.4本合同正本一式</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7</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份，具有同等法律效力，甲方</w:t>
      </w:r>
      <w:r>
        <w:rPr>
          <w:rFonts w:hint="eastAsia" w:ascii="仿宋_GB2312" w:hAnsi="仿宋_GB2312" w:eastAsia="仿宋_GB2312" w:cs="仿宋_GB2312"/>
          <w:highlight w:val="none"/>
          <w:lang w:eastAsia="zh-CN"/>
        </w:rPr>
        <w:t>执</w:t>
      </w:r>
      <w:r>
        <w:rPr>
          <w:rFonts w:hint="eastAsia" w:ascii="仿宋_GB2312" w:hAnsi="仿宋_GB2312" w:eastAsia="仿宋_GB2312" w:cs="仿宋_GB2312"/>
          <w:highlight w:val="none"/>
          <w:u w:val="single"/>
          <w:lang w:val="en-US" w:eastAsia="zh-CN"/>
        </w:rPr>
        <w:t xml:space="preserve"> 5</w:t>
      </w:r>
      <w:r>
        <w:rPr>
          <w:rFonts w:hint="eastAsia" w:ascii="仿宋_GB2312" w:hAnsi="仿宋_GB2312" w:eastAsia="仿宋_GB2312" w:cs="仿宋_GB2312"/>
          <w:highlight w:val="none"/>
          <w:lang w:val="en-US" w:eastAsia="zh-CN"/>
        </w:rPr>
        <w:t>份</w:t>
      </w:r>
      <w:r>
        <w:rPr>
          <w:rFonts w:ascii="仿宋_GB2312" w:hAnsi="仿宋_GB2312" w:eastAsia="仿宋_GB2312" w:cs="仿宋_GB2312"/>
          <w:highlight w:val="none"/>
        </w:rPr>
        <w:t>、乙方执</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2</w:t>
      </w:r>
      <w:r>
        <w:rPr>
          <w:rFonts w:hint="default" w:ascii="仿宋_GB2312" w:hAnsi="仿宋_GB2312" w:eastAsia="仿宋_GB2312" w:cs="仿宋_GB2312"/>
          <w:highlight w:val="none"/>
          <w:u w:val="single"/>
          <w:lang w:val="en-US" w:eastAsia="zh-CN"/>
        </w:rPr>
        <w:t xml:space="preserve"> </w:t>
      </w:r>
      <w:r>
        <w:rPr>
          <w:rFonts w:ascii="仿宋_GB2312" w:hAnsi="仿宋_GB2312" w:eastAsia="仿宋_GB2312" w:cs="仿宋_GB2312"/>
          <w:highlight w:val="none"/>
        </w:rPr>
        <w:t>份；</w:t>
      </w:r>
    </w:p>
    <w:p w14:paraId="21A7F731">
      <w:pPr>
        <w:pStyle w:val="11"/>
        <w:spacing w:line="360" w:lineRule="auto"/>
        <w:ind w:firstLineChars="200"/>
        <w:jc w:val="left"/>
        <w:rPr>
          <w:rFonts w:hint="default" w:eastAsia="仿宋_GB2312"/>
          <w:highlight w:val="none"/>
          <w:u w:val="single"/>
          <w:lang w:val="en-US" w:eastAsia="zh-CN"/>
        </w:rPr>
      </w:pPr>
      <w:r>
        <w:rPr>
          <w:rFonts w:ascii="仿宋_GB2312" w:hAnsi="仿宋_GB2312" w:eastAsia="仿宋_GB2312" w:cs="仿宋_GB2312"/>
          <w:highlight w:val="none"/>
        </w:rPr>
        <w:t>17.5其他</w:t>
      </w: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lang w:val="en-US" w:eastAsia="zh-CN"/>
        </w:rPr>
        <w:t>/</w:t>
      </w:r>
      <w:r>
        <w:rPr>
          <w:rFonts w:hint="default" w:ascii="仿宋_GB2312" w:hAnsi="仿宋_GB2312" w:eastAsia="仿宋_GB2312" w:cs="仿宋_GB2312"/>
          <w:highlight w:val="none"/>
          <w:u w:val="single"/>
          <w:lang w:val="en-US" w:eastAsia="zh-CN"/>
        </w:rPr>
        <w:t xml:space="preserve">     </w:t>
      </w:r>
    </w:p>
    <w:p w14:paraId="6A5C4B7F">
      <w:pPr>
        <w:pStyle w:val="11"/>
        <w:numPr>
          <w:ilvl w:val="-1"/>
          <w:numId w:val="0"/>
        </w:numPr>
        <w:spacing w:line="360" w:lineRule="auto"/>
        <w:ind w:left="0" w:leftChars="0" w:firstLine="482" w:firstLineChars="200"/>
        <w:jc w:val="left"/>
        <w:outlineLvl w:val="9"/>
        <w:rPr>
          <w:rFonts w:ascii="仿宋_GB2312" w:hAnsi="仿宋_GB2312" w:eastAsia="仿宋_GB2312" w:cs="仿宋_GB2312"/>
          <w:b w:val="0"/>
          <w:sz w:val="20"/>
          <w:highlight w:val="none"/>
        </w:rPr>
      </w:pPr>
      <w:r>
        <w:rPr>
          <w:rFonts w:ascii="仿宋_GB2312" w:hAnsi="仿宋_GB2312" w:eastAsia="仿宋_GB2312" w:cs="仿宋_GB2312"/>
          <w:b/>
          <w:sz w:val="24"/>
          <w:highlight w:val="none"/>
        </w:rPr>
        <w:t>合同附件</w:t>
      </w:r>
    </w:p>
    <w:p w14:paraId="7FA91A09">
      <w:pPr>
        <w:pStyle w:val="11"/>
        <w:spacing w:line="360" w:lineRule="auto"/>
        <w:ind w:firstLineChars="200"/>
        <w:jc w:val="left"/>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highlight w:val="none"/>
          <w:lang w:eastAsia="zh-CN"/>
        </w:rPr>
        <w:t>附</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b w:val="0"/>
          <w:bCs w:val="0"/>
          <w:sz w:val="20"/>
          <w:szCs w:val="20"/>
          <w:highlight w:val="none"/>
        </w:rPr>
        <w:t>《安全生产管理协议书》</w:t>
      </w:r>
    </w:p>
    <w:p w14:paraId="19759D89">
      <w:pPr>
        <w:pStyle w:val="11"/>
        <w:snapToGrid w:val="0"/>
        <w:spacing w:line="360" w:lineRule="auto"/>
        <w:ind w:firstLineChars="200"/>
        <w:jc w:val="left"/>
        <w:rPr>
          <w:rFonts w:hint="eastAsia" w:ascii="仿宋_GB2312" w:hAnsi="仿宋_GB2312" w:eastAsia="仿宋_GB2312" w:cs="仿宋_GB2312"/>
          <w:sz w:val="20"/>
          <w:szCs w:val="20"/>
          <w:highlight w:val="none"/>
          <w:u w:val="none"/>
        </w:rPr>
      </w:pPr>
      <w:r>
        <w:rPr>
          <w:rFonts w:hint="eastAsia" w:ascii="仿宋_GB2312" w:hAnsi="仿宋_GB2312" w:eastAsia="仿宋_GB2312" w:cs="仿宋_GB2312"/>
          <w:sz w:val="20"/>
          <w:szCs w:val="20"/>
          <w:highlight w:val="none"/>
        </w:rPr>
        <w:t>甲方：（单位全称）</w:t>
      </w:r>
      <w:r>
        <w:rPr>
          <w:rFonts w:hint="eastAsia" w:ascii="仿宋_GB2312" w:hAnsi="仿宋_GB2312" w:eastAsia="仿宋_GB2312" w:cs="仿宋_GB2312"/>
          <w:b w:val="0"/>
          <w:sz w:val="20"/>
          <w:szCs w:val="20"/>
          <w:highlight w:val="none"/>
          <w:u w:val="none"/>
        </w:rPr>
        <w:t>福州市自来水有限公司</w:t>
      </w:r>
      <w:r>
        <w:rPr>
          <w:rFonts w:hint="eastAsia" w:ascii="仿宋_GB2312" w:hAnsi="仿宋_GB2312" w:eastAsia="仿宋_GB2312" w:cs="仿宋_GB2312"/>
          <w:sz w:val="20"/>
          <w:szCs w:val="20"/>
          <w:highlight w:val="none"/>
          <w:u w:val="none"/>
        </w:rPr>
        <w:t xml:space="preserve">      </w:t>
      </w:r>
    </w:p>
    <w:p w14:paraId="6F1972CF">
      <w:pPr>
        <w:pStyle w:val="11"/>
        <w:snapToGrid w:val="0"/>
        <w:spacing w:line="360" w:lineRule="auto"/>
        <w:ind w:firstLineChars="200"/>
        <w:jc w:val="left"/>
        <w:rPr>
          <w:rFonts w:hint="eastAsia" w:ascii="仿宋_GB2312" w:hAnsi="仿宋_GB2312" w:eastAsia="仿宋_GB2312" w:cs="仿宋_GB2312"/>
          <w:sz w:val="20"/>
          <w:szCs w:val="20"/>
          <w:highlight w:val="none"/>
          <w:u w:val="none"/>
        </w:rPr>
      </w:pPr>
      <w:r>
        <w:rPr>
          <w:rFonts w:hint="eastAsia" w:ascii="仿宋_GB2312" w:hAnsi="仿宋_GB2312" w:eastAsia="仿宋_GB2312" w:cs="仿宋_GB2312"/>
          <w:sz w:val="20"/>
          <w:szCs w:val="20"/>
          <w:highlight w:val="none"/>
        </w:rPr>
        <w:t>乙方：（单位全称）</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p>
    <w:p w14:paraId="02E829E1">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p>
    <w:p w14:paraId="234483C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为切实落实安全生产责任，确保</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rPr>
        <w:t>（以下简称“本项目”）作业过程中的安全生产管理工作，根据《中华人民共和国安全生产法》《建设工程安全生产管理条例》《福建省安全生产条例》等相关法律法规，经双方协商，一致同意达成如下协议，并保证严格遵守。</w:t>
      </w:r>
    </w:p>
    <w:p w14:paraId="3498A922">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一、双方联络人</w:t>
      </w:r>
    </w:p>
    <w:p w14:paraId="6AC9DD66">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甲乙双方按职责分工抓好落实安全生产管理工作。甲方</w:t>
      </w:r>
      <w:r>
        <w:rPr>
          <w:rFonts w:hint="eastAsia" w:ascii="仿宋_GB2312" w:hAnsi="仿宋_GB2312" w:eastAsia="仿宋_GB2312" w:cs="仿宋_GB2312"/>
          <w:sz w:val="20"/>
          <w:szCs w:val="20"/>
          <w:highlight w:val="none"/>
          <w:lang w:eastAsia="zh-CN"/>
        </w:rPr>
        <w:t>指</w:t>
      </w:r>
      <w:r>
        <w:rPr>
          <w:rFonts w:hint="eastAsia" w:ascii="仿宋_GB2312" w:hAnsi="仿宋_GB2312" w:eastAsia="仿宋_GB2312" w:cs="仿宋_GB2312"/>
          <w:sz w:val="20"/>
          <w:szCs w:val="20"/>
          <w:highlight w:val="none"/>
        </w:rPr>
        <w:t>派</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，联系电话：</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，负责本项目的安全生产监管工作。乙方指派</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，联系电话：</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b w:val="0"/>
          <w:bCs w:val="0"/>
          <w:sz w:val="20"/>
          <w:szCs w:val="20"/>
          <w:highlight w:val="none"/>
          <w:u w:val="none"/>
        </w:rPr>
        <w:t xml:space="preserve"> </w:t>
      </w:r>
      <w:r>
        <w:rPr>
          <w:rFonts w:hint="eastAsia" w:ascii="仿宋_GB2312" w:hAnsi="仿宋_GB2312" w:eastAsia="仿宋_GB2312" w:cs="仿宋_GB2312"/>
          <w:b w:val="0"/>
          <w:sz w:val="20"/>
          <w:szCs w:val="20"/>
          <w:highlight w:val="none"/>
          <w:u w:val="none"/>
        </w:rPr>
        <w:t xml:space="preserve">           </w:t>
      </w:r>
      <w:r>
        <w:rPr>
          <w:rFonts w:hint="eastAsia" w:ascii="仿宋_GB2312" w:hAnsi="仿宋_GB2312" w:eastAsia="仿宋_GB2312" w:cs="仿宋_GB2312"/>
          <w:sz w:val="20"/>
          <w:szCs w:val="20"/>
          <w:highlight w:val="none"/>
          <w:u w:val="none"/>
        </w:rPr>
        <w:t xml:space="preserve"> </w:t>
      </w:r>
      <w:r>
        <w:rPr>
          <w:rFonts w:hint="eastAsia" w:ascii="仿宋_GB2312" w:hAnsi="仿宋_GB2312" w:eastAsia="仿宋_GB2312" w:cs="仿宋_GB2312"/>
          <w:sz w:val="20"/>
          <w:szCs w:val="20"/>
          <w:highlight w:val="none"/>
        </w:rPr>
        <w:t>，负责本项目的安全生产工作，并接受甲方的监督管理。</w:t>
      </w:r>
    </w:p>
    <w:p w14:paraId="550EE18F">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 xml:space="preserve">二、甲方的安全责任、权利和义务 </w:t>
      </w:r>
    </w:p>
    <w:p w14:paraId="0F0A011E">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甲方有权对本项目现场含乙方在内的多家单位进行安全生产工作的统一协调、管理，对乙方在作业场所内实施的行为的安全性给予监督和检查。有权督促指导乙方在进场前开展危险作业风险辨识，形成危险作业工序清单，并据此清单督促乙方落实安全管理责任。</w:t>
      </w:r>
    </w:p>
    <w:p w14:paraId="0AC0D8F1">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2、乙方人员进入甲方场所前，甲方有权对乙方进入甲方场所的人员进行登记造册及入场前安全交底和培训。</w:t>
      </w:r>
    </w:p>
    <w:p w14:paraId="599603D0">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3、对于乙方不符合甲方安全要求或不遵守相关安全法律法规的行为，甲方有权制止并责令其限期整改或停工整顿；对于乙方的违约行为，甲方有权按照约定进行经济处罚。</w:t>
      </w:r>
    </w:p>
    <w:p w14:paraId="258BBDF3">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4、对乙方的严重违反安全生产管理法律法规、达不到安全生产条件、存在重大安全隐患或发生安全生产事故等行为，甲方可要求乙方限期更换人员或退场，甲方有权单方终止本项目所有合同，所造成的经济损失和一切后果由乙方承担。 </w:t>
      </w:r>
    </w:p>
    <w:p w14:paraId="222F92AA">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 xml:space="preserve">三、乙方的安全责任、权利和义务 </w:t>
      </w:r>
    </w:p>
    <w:p w14:paraId="4FAE902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仿宋_GB2312" w:hAnsi="仿宋_GB2312" w:eastAsia="仿宋_GB2312" w:cs="仿宋_GB2312"/>
          <w:sz w:val="20"/>
          <w:szCs w:val="20"/>
          <w:highlight w:val="none"/>
          <w:u w:val="none"/>
        </w:rPr>
        <w:t xml:space="preserve">福州市自来水有限公司 </w:t>
      </w:r>
      <w:r>
        <w:rPr>
          <w:rFonts w:hint="eastAsia" w:ascii="仿宋_GB2312" w:hAnsi="仿宋_GB2312" w:eastAsia="仿宋_GB2312" w:cs="仿宋_GB2312"/>
          <w:sz w:val="20"/>
          <w:szCs w:val="20"/>
          <w:highlight w:val="none"/>
        </w:rPr>
        <w:t>等一系列安全生产体系规章制度。</w:t>
      </w:r>
    </w:p>
    <w:p w14:paraId="3179826B">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w:t>
      </w:r>
      <w:r>
        <w:rPr>
          <w:rFonts w:hint="eastAsia" w:ascii="仿宋_GB2312" w:hAnsi="仿宋_GB2312" w:eastAsia="仿宋_GB2312" w:cs="仿宋_GB2312"/>
          <w:sz w:val="20"/>
          <w:szCs w:val="20"/>
          <w:highlight w:val="none"/>
          <w:shd w:val="clear" w:color="auto" w:fill="FFFFFF"/>
        </w:rPr>
        <w:t>、</w:t>
      </w:r>
      <w:r>
        <w:rPr>
          <w:rFonts w:hint="eastAsia" w:ascii="仿宋_GB2312" w:hAnsi="仿宋_GB2312" w:eastAsia="仿宋_GB2312" w:cs="仿宋_GB2312"/>
          <w:sz w:val="20"/>
          <w:szCs w:val="20"/>
          <w:highlight w:val="none"/>
        </w:rPr>
        <w:t>乙方承诺具备实施本项目的资质和能力，具备安全生产条件。乙方必须建立完整的安全保障体系和风险辨识分级管控与隐患排查治理体系，必须在进场施工前，开展风险辨识并形成危险作业工序清单，并有效落实风险防范措施；乙方必须按照本项目特点，组织制定本项目实施中的现场管理及应急处置方案，制定生产安全事故应急救援预案等，并严格执行。</w:t>
      </w:r>
    </w:p>
    <w:p w14:paraId="1D09F7DC">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3、乙方法定代表人/负责人对乙方的安全生产工作全面负责。</w:t>
      </w:r>
    </w:p>
    <w:p w14:paraId="62AED826">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乙方应配备专职的项目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14:paraId="4879982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3.2乙方应当设立安全生产管理机构，配备专职安全生产管理人员，专职安全生产管理人员每天在本项目现场履行安全管理职责，负责对安全生产进行现场监督检查。发现安全事故隐患，应当及时向甲方的项目负责人和安全生产管理机构报告；对违章指挥、违章操作的，应当立即制止。</w:t>
      </w:r>
    </w:p>
    <w:p w14:paraId="0FA420F9">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4、乙方在本项目施工作业期间，必须保证使用的设备设施（包括用电设施、设备安全防护措施、劳动保护用品等）符合国家和行业标准要求，并定期进行检查、维护、保养等，由此产生的相关费用由乙方承担。</w:t>
      </w:r>
    </w:p>
    <w:p w14:paraId="019B93D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5、乙方保证特种作业人员必须按照国家有关规定经过专门的安全作业培训，并取得特种作业操作资格证书后，方可上岗作业，施工现场如出现特种作业无证操作现象时，乙方必须承担一切责任。</w:t>
      </w:r>
    </w:p>
    <w:p w14:paraId="6E1DAB8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6、乙方保证作业人员身体素质、安全素质符合规定要求，不得雇佣身体条件不合格、技术水平不达标、安全素质差的作业人员。</w:t>
      </w:r>
    </w:p>
    <w:p w14:paraId="06C81D5E">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乙方作业人员及其他人员进场的，乙方应进行登记造册，向甲方有关部门提供符合要求的进场人员名单，乙方应进行进场上岗前（入场前）安全教育。乙方人员中途有变动，应事先通知甲方，并提供新进场人员名单，对按新进场人员进行进场上岗前（入场前）安全教育。  </w:t>
      </w:r>
    </w:p>
    <w:p w14:paraId="2ECD0566">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乙方保证所有作业人员熟知和遵守与本项目有关的各项安全技术操作规程，定期进行安全技术考核，进行安全技术交底，合格者方准上岗操作。</w:t>
      </w:r>
    </w:p>
    <w:p w14:paraId="0F44504C">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7、乙方应经常性指导并组织班组经常性开展安全教育、安全检查和整改、安全学习活动，对于甲方组织的安全生产培训，乙方必须派代表参加，并将培训内容在乙方内部及乙方分包单位等进行宣贯且落实到位。</w:t>
      </w:r>
    </w:p>
    <w:p w14:paraId="00DFF36C">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乙方仅能在限定的作业区域内作业，在作业过程中不得私自拆除、解除安全防护设备设施，不得违章指挥或强令工人冒险作业，不得强迫工人连续长时间作业，更不得未经甲方允许擅自作业、进入指定禁区及非本工作作业区域。</w:t>
      </w:r>
    </w:p>
    <w:p w14:paraId="3D17711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乙方在开展动火作业、有限空间作业、高处作业、吊装作业、临时用电作业、动土作业及应急管理部门和有关部门规定的其他危险性较大的作业时，需提前告知甲方有关部门，并严格执行危险作业审批、安全技术交底、风险辨识等作业管理规定，并就上述作业另行制定现场管理及应急处置方案，安排专人进行现场安全生产管理，在具备安全条件，作业人员培训合格的前提下进行作业。同时应遵守相对应的执行危险作业有关的法律法规、管理规定及甲乙双方的规章制度。</w:t>
      </w:r>
    </w:p>
    <w:p w14:paraId="176E7188">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Cs w:val="20"/>
          <w:highlight w:val="none"/>
        </w:rPr>
        <w:t>10、</w:t>
      </w:r>
      <w:r>
        <w:rPr>
          <w:rFonts w:hint="eastAsia" w:ascii="仿宋_GB2312" w:hAnsi="仿宋_GB2312" w:eastAsia="仿宋_GB2312" w:cs="仿宋_GB2312"/>
          <w:kern w:val="0"/>
          <w:sz w:val="20"/>
          <w:szCs w:val="20"/>
          <w:highlight w:val="none"/>
          <w:lang w:val="en-US" w:eastAsia="zh-CN" w:bidi="ar-SA"/>
        </w:rPr>
        <w:t>乙方在涉及有限空间的作业过程中，现场配置警示牌，配备1至2名安全监护人员，落实作业过程旁站监督；现场管理人员、作业人员必须是经培训合格的，并对作业人员进行安全交底，经交底人和作业人员签字确认；现场必须落实相应的管控措施，包括但不限于：配备通风设备、气体检测设备、防护设施等、采取生物预警措施；应制定现场安全应急预案，明确紧急情况下信息速报、施救程序等现场应急处置要求，杜绝盲目施救。</w:t>
      </w:r>
    </w:p>
    <w:p w14:paraId="38BDBF0C">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14:paraId="2A306692">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乙方作业期间，要对作业场所所涉及的高低压架空线路、通信设备设施和甲方各类资产进行保护，如遇情况不明或突发情况时应立即停止施工，采取保护措施，并及时向甲方汇报。</w:t>
      </w:r>
    </w:p>
    <w:p w14:paraId="65F40999">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施工现场的消防安全管理应由乙方负责，乙方应参照《建设工程施工现场消防安全技术规范》（GB-50720）的要求，制定用火、用电、使用易燃易爆材料等各项消防安全生产管理制度和操作规程，配备消防设施。</w:t>
      </w:r>
    </w:p>
    <w:p w14:paraId="7E671456">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13、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14:paraId="382BE145">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14、乙方在任何时候都应采取各种合理的预防措施，防止发生任何违法、违禁、暴力或妨碍治安的行为。</w:t>
      </w:r>
    </w:p>
    <w:p w14:paraId="4CC25113">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Cs w:val="20"/>
          <w:highlight w:val="none"/>
        </w:rPr>
      </w:pPr>
      <w:r>
        <w:rPr>
          <w:rFonts w:hint="eastAsia" w:ascii="仿宋_GB2312" w:hAnsi="仿宋_GB2312" w:eastAsia="仿宋_GB2312" w:cs="仿宋_GB2312"/>
          <w:szCs w:val="20"/>
          <w:highlight w:val="none"/>
        </w:rPr>
        <w:t xml:space="preserve">15、乙方必须按规定提取和使用安全技术措施经费，为作业人员提供符合国家标准或行业标准的劳动防护用品，并督促、教育作业人员按照使用规则佩戴、使用。 </w:t>
      </w:r>
    </w:p>
    <w:p w14:paraId="53590AEE">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16、对甲方人员违章指挥或者可能危及人身安全、财产损失的指挥，乙方有权拒绝。 </w:t>
      </w:r>
    </w:p>
    <w:p w14:paraId="6E3B57BD">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17、乙方不得实施违反安全法律法规和安全生产规章制度以及甲方相关安全生产管理相关制度的行为。</w:t>
      </w:r>
    </w:p>
    <w:p w14:paraId="1DA55371">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u w:val="none"/>
        </w:rPr>
      </w:pPr>
      <w:r>
        <w:rPr>
          <w:rFonts w:hint="eastAsia" w:ascii="仿宋_GB2312" w:hAnsi="仿宋_GB2312" w:eastAsia="仿宋_GB2312" w:cs="仿宋_GB2312"/>
          <w:sz w:val="20"/>
          <w:szCs w:val="20"/>
          <w:highlight w:val="none"/>
        </w:rPr>
        <w:t>18、其他约定：</w:t>
      </w:r>
      <w:r>
        <w:rPr>
          <w:rFonts w:hint="eastAsia" w:ascii="仿宋_GB2312" w:hAnsi="仿宋_GB2312" w:eastAsia="仿宋_GB2312" w:cs="仿宋_GB2312"/>
          <w:b w:val="0"/>
          <w:bCs w:val="0"/>
          <w:sz w:val="20"/>
          <w:szCs w:val="20"/>
          <w:highlight w:val="none"/>
          <w:u w:val="none"/>
        </w:rPr>
        <w:t xml:space="preserve">无 </w:t>
      </w:r>
    </w:p>
    <w:p w14:paraId="77E18FD2">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四、违约和赔偿责任</w:t>
      </w:r>
    </w:p>
    <w:p w14:paraId="50C7D457">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1、乙方违反安全生产管理规定违章作业，每发生一次，甲方有权视情况要求乙方支付违约金</w:t>
      </w:r>
      <w:r>
        <w:rPr>
          <w:rFonts w:hint="eastAsia" w:ascii="仿宋_GB2312" w:hAnsi="仿宋_GB2312" w:eastAsia="仿宋_GB2312" w:cs="仿宋_GB2312"/>
          <w:sz w:val="20"/>
          <w:szCs w:val="20"/>
          <w:highlight w:val="none"/>
          <w:u w:val="none"/>
          <w:lang w:val="en-US" w:eastAsia="zh-CN"/>
        </w:rPr>
        <w:t>2仟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sz w:val="20"/>
          <w:szCs w:val="20"/>
          <w:highlight w:val="none"/>
        </w:rPr>
        <w:t>，同时按相关合同及安全生产管理规定要求乙方承担相应责任，且乙方应按要求整改到位，否则甲方有权解除合同。因上述原因所造成的经济损失和一切后果由乙方承担。</w:t>
      </w:r>
    </w:p>
    <w:p w14:paraId="7098211D">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2、乙方违反本合同约定条款的，危险作业安全措施落实不到位，每发生一次，甲方有权视情况要求乙方支付违约金</w:t>
      </w:r>
      <w:r>
        <w:rPr>
          <w:rFonts w:hint="eastAsia" w:ascii="仿宋_GB2312" w:hAnsi="仿宋_GB2312" w:eastAsia="仿宋_GB2312" w:cs="仿宋_GB2312"/>
          <w:sz w:val="20"/>
          <w:szCs w:val="20"/>
          <w:highlight w:val="none"/>
          <w:u w:val="none"/>
          <w:lang w:val="en-US" w:eastAsia="zh-CN"/>
        </w:rPr>
        <w:t>5仟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sz w:val="20"/>
          <w:szCs w:val="20"/>
          <w:highlight w:val="none"/>
        </w:rPr>
        <w:t>，同时按相关合同及安全生产管理规定要求乙方承担相应责任，且乙方应按要求整改到位，否则甲方有权解除合同。因上述原因所造成的经济损失和一切后果由乙方承担。</w:t>
      </w:r>
    </w:p>
    <w:p w14:paraId="470BF1DE">
      <w:pPr>
        <w:pStyle w:val="11"/>
        <w:keepNext w:val="0"/>
        <w:keepLines w:val="0"/>
        <w:pageBreakBefore w:val="0"/>
        <w:widowControl/>
        <w:kinsoku/>
        <w:wordWrap/>
        <w:overflowPunct/>
        <w:topLinePunct w:val="0"/>
        <w:autoSpaceDE/>
        <w:autoSpaceDN/>
        <w:bidi w:val="0"/>
        <w:adjustRightInd/>
        <w:snapToGrid w:val="0"/>
        <w:spacing w:line="360" w:lineRule="auto"/>
        <w:ind w:firstLineChars="200"/>
        <w:jc w:val="left"/>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3、本项目作业场所因安全文明施工问题被居民投诉经核实情况属实的，乙方应向甲方支付违约金每次</w:t>
      </w:r>
      <w:r>
        <w:rPr>
          <w:rFonts w:hint="eastAsia" w:ascii="仿宋_GB2312" w:hAnsi="仿宋_GB2312" w:eastAsia="仿宋_GB2312" w:cs="仿宋_GB2312"/>
          <w:kern w:val="0"/>
          <w:sz w:val="20"/>
          <w:szCs w:val="20"/>
          <w:highlight w:val="none"/>
          <w:lang w:val="en-US" w:eastAsia="zh-CN"/>
        </w:rPr>
        <w:t>3</w:t>
      </w:r>
      <w:r>
        <w:rPr>
          <w:rFonts w:hint="eastAsia" w:ascii="仿宋_GB2312" w:hAnsi="仿宋_GB2312" w:eastAsia="仿宋_GB2312" w:cs="仿宋_GB2312"/>
          <w:sz w:val="20"/>
          <w:szCs w:val="20"/>
          <w:highlight w:val="none"/>
          <w:u w:val="none"/>
          <w:lang w:val="en-US" w:eastAsia="zh-CN"/>
        </w:rPr>
        <w:t>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kern w:val="0"/>
          <w:sz w:val="20"/>
          <w:szCs w:val="20"/>
          <w:highlight w:val="none"/>
        </w:rPr>
        <w:t>，同时应按甲方或相关单位要求整改到位。</w:t>
      </w:r>
    </w:p>
    <w:p w14:paraId="2A068087">
      <w:pPr>
        <w:pStyle w:val="11"/>
        <w:keepNext w:val="0"/>
        <w:keepLines w:val="0"/>
        <w:pageBreakBefore w:val="0"/>
        <w:widowControl/>
        <w:kinsoku/>
        <w:wordWrap/>
        <w:overflowPunct/>
        <w:topLinePunct w:val="0"/>
        <w:autoSpaceDE/>
        <w:autoSpaceDN/>
        <w:bidi w:val="0"/>
        <w:adjustRightInd/>
        <w:snapToGrid w:val="0"/>
        <w:spacing w:line="360" w:lineRule="auto"/>
        <w:ind w:firstLineChars="200"/>
        <w:jc w:val="left"/>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4、本项目作业场所因安全文明施工问题被媒体曝光的，乙方应向甲方支付违约金每次</w:t>
      </w:r>
      <w:r>
        <w:rPr>
          <w:rFonts w:hint="eastAsia" w:ascii="仿宋_GB2312" w:hAnsi="仿宋_GB2312" w:eastAsia="仿宋_GB2312" w:cs="仿宋_GB2312"/>
          <w:kern w:val="0"/>
          <w:sz w:val="20"/>
          <w:szCs w:val="20"/>
          <w:highlight w:val="none"/>
          <w:u w:val="none"/>
          <w:lang w:val="en-US" w:eastAsia="zh-CN"/>
        </w:rPr>
        <w:t>5</w:t>
      </w:r>
      <w:r>
        <w:rPr>
          <w:rFonts w:hint="eastAsia" w:ascii="仿宋_GB2312" w:hAnsi="仿宋_GB2312" w:eastAsia="仿宋_GB2312" w:cs="仿宋_GB2312"/>
          <w:sz w:val="20"/>
          <w:szCs w:val="20"/>
          <w:highlight w:val="none"/>
          <w:u w:val="none"/>
          <w:lang w:val="en-US" w:eastAsia="zh-CN"/>
        </w:rPr>
        <w:t>仟</w:t>
      </w:r>
      <w:r>
        <w:rPr>
          <w:rFonts w:hint="eastAsia" w:ascii="仿宋_GB2312" w:hAnsi="仿宋_GB2312" w:eastAsia="仿宋_GB2312" w:cs="仿宋_GB2312"/>
          <w:kern w:val="0"/>
          <w:sz w:val="20"/>
          <w:szCs w:val="20"/>
          <w:highlight w:val="none"/>
          <w:u w:val="none"/>
        </w:rPr>
        <w:t>元</w:t>
      </w:r>
      <w:r>
        <w:rPr>
          <w:rFonts w:hint="eastAsia" w:ascii="仿宋_GB2312" w:hAnsi="仿宋_GB2312" w:eastAsia="仿宋_GB2312" w:cs="仿宋_GB2312"/>
          <w:kern w:val="0"/>
          <w:sz w:val="20"/>
          <w:szCs w:val="20"/>
          <w:highlight w:val="none"/>
        </w:rPr>
        <w:t>，同时应按甲方或相关单位要求整改到位。</w:t>
      </w:r>
    </w:p>
    <w:p w14:paraId="21CA0914">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5、本项目作业场所因安全文明施工问题被相关主管部门检查发现存在问题或挂牌通报的，乙方应向甲方支付违约金每次</w:t>
      </w:r>
      <w:r>
        <w:rPr>
          <w:rFonts w:hint="eastAsia" w:ascii="仿宋_GB2312" w:hAnsi="仿宋_GB2312" w:eastAsia="仿宋_GB2312" w:cs="仿宋_GB2312"/>
          <w:sz w:val="20"/>
          <w:szCs w:val="20"/>
          <w:highlight w:val="none"/>
          <w:u w:val="none"/>
          <w:lang w:val="en-US" w:eastAsia="zh-CN"/>
        </w:rPr>
        <w:t>7仟</w:t>
      </w:r>
      <w:r>
        <w:rPr>
          <w:rFonts w:hint="eastAsia" w:ascii="仿宋_GB2312" w:hAnsi="仿宋_GB2312" w:eastAsia="仿宋_GB2312" w:cs="仿宋_GB2312"/>
          <w:sz w:val="20"/>
          <w:szCs w:val="20"/>
          <w:highlight w:val="none"/>
          <w:u w:val="none"/>
        </w:rPr>
        <w:t>元</w:t>
      </w:r>
      <w:r>
        <w:rPr>
          <w:rFonts w:hint="eastAsia" w:ascii="仿宋_GB2312" w:hAnsi="仿宋_GB2312" w:eastAsia="仿宋_GB2312" w:cs="仿宋_GB2312"/>
          <w:sz w:val="20"/>
          <w:szCs w:val="20"/>
          <w:highlight w:val="none"/>
        </w:rPr>
        <w:t>，同时按要求整改到位。如因此被行政处罚的，罚金由乙方支付，同时乙方应赔偿甲方因此造成的全部损失。</w:t>
      </w:r>
    </w:p>
    <w:p w14:paraId="15263ADF">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乙方自行负责本项目的作业、消防、安全生产、经营、环保、卫生及相关人员的劳动、人身安全等，知悉安全法律法规的规定；本项目作业场所发生安全责任事故（事件）的，由乙方承担全部赔偿责任和法律责任（包括但不限于因此导致的甲方人员、乙方人员或第三方人员伤亡、造成甲方或第三方企业财产损失、经济损失的赔偿责任），乙方法定代表人、实际控制人、实际负责人为第一责任人，承担相对应的法律责任。同时，甲方有权要求乙方支付本项目合同（暂定）总价</w:t>
      </w:r>
      <w:r>
        <w:rPr>
          <w:rFonts w:hint="eastAsia" w:ascii="仿宋_GB2312" w:hAnsi="仿宋_GB2312" w:eastAsia="仿宋_GB2312" w:cs="仿宋_GB2312"/>
          <w:sz w:val="20"/>
          <w:szCs w:val="20"/>
          <w:highlight w:val="none"/>
          <w:u w:val="none"/>
        </w:rPr>
        <w:t xml:space="preserve">1.5% </w:t>
      </w:r>
      <w:r>
        <w:rPr>
          <w:rFonts w:hint="eastAsia" w:ascii="仿宋_GB2312" w:hAnsi="仿宋_GB2312" w:eastAsia="仿宋_GB2312" w:cs="仿宋_GB2312"/>
          <w:sz w:val="20"/>
          <w:szCs w:val="20"/>
          <w:highlight w:val="none"/>
        </w:rPr>
        <w:t>的违约金，甲方有权视事故（事件）严重程度单方面解除合同。</w:t>
      </w:r>
    </w:p>
    <w:p w14:paraId="0AD06028">
      <w:pPr>
        <w:pStyle w:val="11"/>
        <w:keepNext w:val="0"/>
        <w:keepLines w:val="0"/>
        <w:pageBreakBefore w:val="0"/>
        <w:widowControl/>
        <w:kinsoku/>
        <w:wordWrap/>
        <w:topLinePunct w:val="0"/>
        <w:bidi w:val="0"/>
        <w:spacing w:line="360" w:lineRule="auto"/>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7、甲乙双方确认，因本项目签订的其他合同与本协议约定不一致的，以有利于甲方的条款执行。</w:t>
      </w:r>
    </w:p>
    <w:p w14:paraId="14CFEC26">
      <w:pPr>
        <w:pStyle w:val="11"/>
        <w:keepNext w:val="0"/>
        <w:keepLines w:val="0"/>
        <w:pageBreakBefore w:val="0"/>
        <w:widowControl/>
        <w:kinsoku/>
        <w:wordWrap/>
        <w:topLinePunct w:val="0"/>
        <w:bidi w:val="0"/>
        <w:spacing w:line="360" w:lineRule="auto"/>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8、上述所涉损失包括但不限于诉讼仲裁费、律师费、赔偿费、财产保全费、评估鉴定费、执行费、拍卖费、差旅费等。</w:t>
      </w:r>
    </w:p>
    <w:p w14:paraId="6DBB4803">
      <w:pPr>
        <w:pStyle w:val="11"/>
        <w:keepNext w:val="0"/>
        <w:keepLines w:val="0"/>
        <w:pageBreakBefore w:val="0"/>
        <w:widowControl/>
        <w:kinsoku/>
        <w:wordWrap/>
        <w:topLinePunct w:val="0"/>
        <w:bidi w:val="0"/>
        <w:spacing w:line="360" w:lineRule="auto"/>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9、其他约定：</w:t>
      </w:r>
      <w:r>
        <w:rPr>
          <w:rFonts w:hint="eastAsia" w:ascii="仿宋_GB2312" w:hAnsi="仿宋_GB2312" w:eastAsia="仿宋_GB2312" w:cs="仿宋_GB2312"/>
          <w:b w:val="0"/>
          <w:bCs w:val="0"/>
          <w:sz w:val="20"/>
          <w:szCs w:val="20"/>
          <w:highlight w:val="none"/>
          <w:u w:val="none"/>
        </w:rPr>
        <w:t xml:space="preserve">无 </w:t>
      </w:r>
    </w:p>
    <w:p w14:paraId="461E69D5">
      <w:pPr>
        <w:pStyle w:val="11"/>
        <w:keepNext w:val="0"/>
        <w:keepLines w:val="0"/>
        <w:pageBreakBefore w:val="0"/>
        <w:widowControl/>
        <w:kinsoku/>
        <w:wordWrap/>
        <w:topLinePunct w:val="0"/>
        <w:bidi w:val="0"/>
        <w:snapToGrid w:val="0"/>
        <w:spacing w:line="360" w:lineRule="auto"/>
        <w:ind w:firstLineChars="200"/>
        <w:jc w:val="left"/>
        <w:outlineLvl w:val="0"/>
        <w:rPr>
          <w:rFonts w:hint="eastAsia" w:ascii="仿宋_GB2312" w:hAnsi="仿宋_GB2312" w:eastAsia="仿宋_GB2312" w:cs="仿宋_GB2312"/>
          <w:b w:val="0"/>
          <w:sz w:val="20"/>
          <w:szCs w:val="20"/>
          <w:highlight w:val="none"/>
        </w:rPr>
      </w:pPr>
      <w:r>
        <w:rPr>
          <w:rFonts w:hint="eastAsia" w:ascii="仿宋_GB2312" w:hAnsi="仿宋_GB2312" w:eastAsia="仿宋_GB2312" w:cs="仿宋_GB2312"/>
          <w:b w:val="0"/>
          <w:sz w:val="20"/>
          <w:szCs w:val="20"/>
          <w:highlight w:val="none"/>
        </w:rPr>
        <w:t>五、其他约定</w:t>
      </w:r>
    </w:p>
    <w:p w14:paraId="2F7ADC81">
      <w:pPr>
        <w:pStyle w:val="11"/>
        <w:keepNext w:val="0"/>
        <w:keepLines w:val="0"/>
        <w:pageBreakBefore w:val="0"/>
        <w:widowControl/>
        <w:kinsoku/>
        <w:wordWrap/>
        <w:overflowPunct/>
        <w:topLinePunct w:val="0"/>
        <w:autoSpaceDE/>
        <w:autoSpaceDN/>
        <w:bidi w:val="0"/>
        <w:adjustRightInd/>
        <w:snapToGrid w:val="0"/>
        <w:spacing w:line="360" w:lineRule="auto"/>
        <w:ind w:firstLineChars="200"/>
        <w:jc w:val="left"/>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1、甲、乙双方应严格履行安全生产管理职责，在本项目作业区域内发生的伤亡、火灾、交通、治安等各类事故（事件）的，甲乙双方应全力做好抢救工作。</w:t>
      </w:r>
    </w:p>
    <w:p w14:paraId="3B37E551">
      <w:pPr>
        <w:pStyle w:val="11"/>
        <w:keepNext w:val="0"/>
        <w:keepLines w:val="0"/>
        <w:pageBreakBefore w:val="0"/>
        <w:widowControl/>
        <w:kinsoku/>
        <w:wordWrap/>
        <w:topLinePunct w:val="0"/>
        <w:bidi w:val="0"/>
        <w:snapToGrid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2、本协议作为本项目工程合同或项目合同的附件。</w:t>
      </w:r>
    </w:p>
    <w:p w14:paraId="0AC65576">
      <w:pPr>
        <w:pStyle w:val="11"/>
        <w:keepNext w:val="0"/>
        <w:keepLines w:val="0"/>
        <w:pageBreakBefore w:val="0"/>
        <w:widowControl/>
        <w:kinsoku/>
        <w:wordWrap/>
        <w:topLinePunct w:val="0"/>
        <w:bidi w:val="0"/>
        <w:spacing w:line="360" w:lineRule="auto"/>
        <w:ind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3、本合同非任何一方的格式合同，因合同及合同有关事项发生的争议，应首先进行友好协商，协商不成的，各方均同意按下列第</w:t>
      </w:r>
      <w:r>
        <w:rPr>
          <w:rFonts w:hint="eastAsia" w:ascii="仿宋_GB2312" w:hAnsi="仿宋_GB2312" w:eastAsia="仿宋_GB2312" w:cs="仿宋_GB2312"/>
          <w:sz w:val="20"/>
          <w:szCs w:val="20"/>
          <w:highlight w:val="none"/>
          <w:u w:val="none"/>
        </w:rPr>
        <w:t>（1）</w:t>
      </w:r>
      <w:r>
        <w:rPr>
          <w:rFonts w:hint="eastAsia" w:ascii="仿宋_GB2312" w:hAnsi="仿宋_GB2312" w:eastAsia="仿宋_GB2312" w:cs="仿宋_GB2312"/>
          <w:sz w:val="20"/>
          <w:szCs w:val="20"/>
          <w:highlight w:val="none"/>
        </w:rPr>
        <w:t xml:space="preserve"> 种方式解决：（1）向</w:t>
      </w:r>
      <w:r>
        <w:rPr>
          <w:rFonts w:hint="eastAsia" w:ascii="仿宋_GB2312" w:hAnsi="仿宋_GB2312" w:eastAsia="仿宋_GB2312" w:cs="仿宋_GB2312"/>
          <w:sz w:val="20"/>
          <w:szCs w:val="20"/>
          <w:highlight w:val="none"/>
          <w:u w:val="none"/>
        </w:rPr>
        <w:t xml:space="preserve">  福州 </w:t>
      </w:r>
      <w:r>
        <w:rPr>
          <w:rFonts w:hint="eastAsia" w:ascii="仿宋_GB2312" w:hAnsi="仿宋_GB2312" w:eastAsia="仿宋_GB2312" w:cs="仿宋_GB2312"/>
          <w:sz w:val="20"/>
          <w:szCs w:val="20"/>
          <w:highlight w:val="none"/>
        </w:rPr>
        <w:t>仲裁委员会申请仲裁；（2）向</w:t>
      </w:r>
      <w:r>
        <w:rPr>
          <w:rFonts w:hint="eastAsia" w:ascii="仿宋_GB2312" w:hAnsi="仿宋_GB2312" w:eastAsia="仿宋_GB2312" w:cs="仿宋_GB2312"/>
          <w:sz w:val="20"/>
          <w:szCs w:val="20"/>
          <w:highlight w:val="none"/>
          <w:u w:val="none"/>
        </w:rPr>
        <w:t xml:space="preserve"> 本项目所在地有管辖权的 </w:t>
      </w:r>
      <w:r>
        <w:rPr>
          <w:rFonts w:hint="eastAsia" w:ascii="仿宋_GB2312" w:hAnsi="仿宋_GB2312" w:eastAsia="仿宋_GB2312" w:cs="仿宋_GB2312"/>
          <w:sz w:val="20"/>
          <w:szCs w:val="20"/>
          <w:highlight w:val="none"/>
        </w:rPr>
        <w:t>人民法院起诉。</w:t>
      </w:r>
    </w:p>
    <w:p w14:paraId="483D6D2C">
      <w:pPr>
        <w:pStyle w:val="11"/>
        <w:spacing w:line="360" w:lineRule="auto"/>
        <w:ind w:firstLineChars="200"/>
        <w:jc w:val="left"/>
        <w:rPr>
          <w:rFonts w:hint="eastAsia" w:ascii="仿宋_GB2312" w:hAnsi="仿宋_GB2312" w:eastAsia="仿宋_GB2312" w:cs="仿宋_GB2312"/>
          <w:sz w:val="20"/>
          <w:szCs w:val="20"/>
          <w:highlight w:val="none"/>
        </w:rPr>
      </w:pPr>
    </w:p>
    <w:p w14:paraId="249C1C8F">
      <w:pPr>
        <w:pStyle w:val="11"/>
        <w:spacing w:line="360" w:lineRule="auto"/>
        <w:ind w:firstLineChars="200"/>
        <w:jc w:val="left"/>
        <w:rPr>
          <w:rFonts w:ascii="仿宋_GB2312" w:hAnsi="仿宋_GB2312" w:eastAsia="仿宋_GB2312" w:cs="仿宋_GB2312"/>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Cs w:val="20"/>
          <w:highlight w:val="none"/>
        </w:rPr>
        <w:t xml:space="preserve">   </w:t>
      </w:r>
    </w:p>
    <w:p w14:paraId="25C77898">
      <w:pPr>
        <w:pStyle w:val="11"/>
        <w:numPr>
          <w:ilvl w:val="-1"/>
          <w:numId w:val="0"/>
        </w:numPr>
        <w:spacing w:line="360" w:lineRule="auto"/>
        <w:ind w:left="0" w:leftChars="0" w:firstLineChars="200"/>
        <w:jc w:val="left"/>
        <w:outlineLvl w:val="9"/>
        <w:rPr>
          <w:highlight w:val="none"/>
        </w:rPr>
      </w:pPr>
      <w:r>
        <w:rPr>
          <w:rFonts w:ascii="仿宋_GB2312" w:hAnsi="仿宋_GB2312" w:eastAsia="仿宋_GB2312" w:cs="仿宋_GB2312"/>
          <w:highlight w:val="none"/>
        </w:rPr>
        <w:br w:type="textWrapping"/>
      </w:r>
    </w:p>
    <w:p w14:paraId="5AFA9109">
      <w:pPr>
        <w:pStyle w:val="11"/>
        <w:spacing w:line="360" w:lineRule="auto"/>
        <w:jc w:val="left"/>
        <w:rPr>
          <w:highlight w:val="none"/>
        </w:rPr>
      </w:pPr>
      <w:r>
        <w:rPr>
          <w:rFonts w:ascii="仿宋_GB2312" w:hAnsi="仿宋_GB2312" w:eastAsia="仿宋_GB2312" w:cs="仿宋_GB2312"/>
          <w:highlight w:val="none"/>
        </w:rPr>
        <w:t xml:space="preserve"> 甲方（采购人）：</w:t>
      </w:r>
    </w:p>
    <w:p w14:paraId="598380FA">
      <w:pPr>
        <w:pStyle w:val="11"/>
        <w:spacing w:line="360" w:lineRule="auto"/>
        <w:jc w:val="left"/>
        <w:rPr>
          <w:highlight w:val="none"/>
        </w:rPr>
      </w:pPr>
      <w:r>
        <w:rPr>
          <w:rFonts w:ascii="仿宋_GB2312" w:hAnsi="仿宋_GB2312" w:eastAsia="仿宋_GB2312" w:cs="仿宋_GB2312"/>
          <w:highlight w:val="none"/>
        </w:rPr>
        <w:t xml:space="preserve"> 法定（授权）代表人：</w:t>
      </w:r>
    </w:p>
    <w:p w14:paraId="0D28687D">
      <w:pPr>
        <w:pStyle w:val="11"/>
        <w:spacing w:line="360" w:lineRule="auto"/>
        <w:jc w:val="left"/>
        <w:rPr>
          <w:highlight w:val="none"/>
        </w:rPr>
      </w:pPr>
      <w:r>
        <w:rPr>
          <w:rFonts w:ascii="仿宋_GB2312" w:hAnsi="仿宋_GB2312" w:eastAsia="仿宋_GB2312" w:cs="仿宋_GB2312"/>
          <w:highlight w:val="none"/>
        </w:rPr>
        <w:t xml:space="preserve"> 纳税人识别号：</w:t>
      </w:r>
    </w:p>
    <w:p w14:paraId="787679F2">
      <w:pPr>
        <w:pStyle w:val="11"/>
        <w:spacing w:line="360" w:lineRule="auto"/>
        <w:jc w:val="left"/>
        <w:rPr>
          <w:highlight w:val="none"/>
        </w:rPr>
      </w:pPr>
      <w:r>
        <w:rPr>
          <w:rFonts w:ascii="仿宋_GB2312" w:hAnsi="仿宋_GB2312" w:eastAsia="仿宋_GB2312" w:cs="仿宋_GB2312"/>
          <w:highlight w:val="none"/>
        </w:rPr>
        <w:t xml:space="preserve"> 开户银行：</w:t>
      </w:r>
    </w:p>
    <w:p w14:paraId="747B7D96">
      <w:pPr>
        <w:pStyle w:val="11"/>
        <w:spacing w:line="360" w:lineRule="auto"/>
        <w:jc w:val="left"/>
        <w:rPr>
          <w:rFonts w:ascii="仿宋_GB2312" w:hAnsi="仿宋_GB2312" w:eastAsia="仿宋_GB2312" w:cs="仿宋_GB2312"/>
          <w:highlight w:val="none"/>
        </w:rPr>
      </w:pPr>
      <w:r>
        <w:rPr>
          <w:rFonts w:ascii="仿宋_GB2312" w:hAnsi="仿宋_GB2312" w:eastAsia="仿宋_GB2312" w:cs="仿宋_GB2312"/>
          <w:highlight w:val="none"/>
        </w:rPr>
        <w:t xml:space="preserve"> 账号：</w:t>
      </w:r>
    </w:p>
    <w:p w14:paraId="793DB16F">
      <w:pPr>
        <w:pStyle w:val="11"/>
        <w:spacing w:line="360" w:lineRule="auto"/>
        <w:jc w:val="left"/>
        <w:rPr>
          <w:rFonts w:ascii="仿宋_GB2312" w:hAnsi="仿宋_GB2312" w:eastAsia="仿宋_GB2312" w:cs="仿宋_GB2312"/>
          <w:highlight w:val="none"/>
        </w:rPr>
      </w:pPr>
    </w:p>
    <w:p w14:paraId="09DCE55B">
      <w:pPr>
        <w:pStyle w:val="11"/>
        <w:spacing w:line="360" w:lineRule="auto"/>
        <w:jc w:val="left"/>
        <w:rPr>
          <w:highlight w:val="none"/>
        </w:rPr>
      </w:pPr>
      <w:r>
        <w:rPr>
          <w:rFonts w:ascii="仿宋_GB2312" w:hAnsi="仿宋_GB2312" w:eastAsia="仿宋_GB2312" w:cs="仿宋_GB2312"/>
          <w:highlight w:val="none"/>
        </w:rPr>
        <w:t xml:space="preserve"> 乙方（中标或成交人）：</w:t>
      </w:r>
    </w:p>
    <w:p w14:paraId="6F990234">
      <w:pPr>
        <w:pStyle w:val="11"/>
        <w:spacing w:line="360" w:lineRule="auto"/>
        <w:jc w:val="left"/>
        <w:rPr>
          <w:highlight w:val="none"/>
        </w:rPr>
      </w:pPr>
      <w:r>
        <w:rPr>
          <w:rFonts w:ascii="仿宋_GB2312" w:hAnsi="仿宋_GB2312" w:eastAsia="仿宋_GB2312" w:cs="仿宋_GB2312"/>
          <w:highlight w:val="none"/>
        </w:rPr>
        <w:t xml:space="preserve"> 法定（授权）代表人：</w:t>
      </w:r>
    </w:p>
    <w:p w14:paraId="2E2BC0C8">
      <w:pPr>
        <w:pStyle w:val="11"/>
        <w:spacing w:line="360" w:lineRule="auto"/>
        <w:jc w:val="left"/>
        <w:rPr>
          <w:highlight w:val="none"/>
        </w:rPr>
      </w:pPr>
      <w:r>
        <w:rPr>
          <w:rFonts w:ascii="仿宋_GB2312" w:hAnsi="仿宋_GB2312" w:eastAsia="仿宋_GB2312" w:cs="仿宋_GB2312"/>
          <w:highlight w:val="none"/>
        </w:rPr>
        <w:t xml:space="preserve"> 纳税人识别号：</w:t>
      </w:r>
    </w:p>
    <w:p w14:paraId="41739569">
      <w:pPr>
        <w:pStyle w:val="11"/>
        <w:spacing w:line="360" w:lineRule="auto"/>
        <w:jc w:val="left"/>
        <w:rPr>
          <w:highlight w:val="none"/>
        </w:rPr>
      </w:pPr>
      <w:r>
        <w:rPr>
          <w:rFonts w:ascii="仿宋_GB2312" w:hAnsi="仿宋_GB2312" w:eastAsia="仿宋_GB2312" w:cs="仿宋_GB2312"/>
          <w:highlight w:val="none"/>
        </w:rPr>
        <w:t xml:space="preserve"> 开户银行：</w:t>
      </w:r>
    </w:p>
    <w:p w14:paraId="61273E63">
      <w:pPr>
        <w:pStyle w:val="11"/>
        <w:spacing w:line="360" w:lineRule="auto"/>
        <w:jc w:val="left"/>
        <w:rPr>
          <w:rFonts w:ascii="仿宋_GB2312" w:hAnsi="仿宋_GB2312" w:eastAsia="仿宋_GB2312" w:cs="仿宋_GB2312"/>
          <w:highlight w:val="none"/>
        </w:rPr>
      </w:pPr>
      <w:r>
        <w:rPr>
          <w:rFonts w:ascii="仿宋_GB2312" w:hAnsi="仿宋_GB2312" w:eastAsia="仿宋_GB2312" w:cs="仿宋_GB2312"/>
          <w:highlight w:val="none"/>
        </w:rPr>
        <w:t xml:space="preserve"> 账号：</w:t>
      </w:r>
    </w:p>
    <w:p w14:paraId="13E64491">
      <w:pPr>
        <w:pStyle w:val="11"/>
        <w:spacing w:line="360" w:lineRule="auto"/>
        <w:jc w:val="left"/>
        <w:rPr>
          <w:rFonts w:ascii="仿宋_GB2312" w:hAnsi="仿宋_GB2312" w:eastAsia="仿宋_GB2312" w:cs="仿宋_GB2312"/>
          <w:highlight w:val="none"/>
        </w:rPr>
      </w:pPr>
    </w:p>
    <w:p w14:paraId="48FF771A">
      <w:pPr>
        <w:pStyle w:val="11"/>
        <w:spacing w:line="360" w:lineRule="auto"/>
        <w:jc w:val="left"/>
        <w:rPr>
          <w:rFonts w:ascii="仿宋_GB2312" w:hAnsi="仿宋_GB2312" w:eastAsia="仿宋_GB2312" w:cs="仿宋_GB2312"/>
          <w:highlight w:val="none"/>
        </w:rPr>
      </w:pPr>
    </w:p>
    <w:p w14:paraId="19C6B4BC">
      <w:pPr>
        <w:pStyle w:val="11"/>
        <w:spacing w:line="360" w:lineRule="auto"/>
        <w:jc w:val="left"/>
        <w:rPr>
          <w:highlight w:val="none"/>
        </w:rPr>
      </w:pPr>
      <w:r>
        <w:rPr>
          <w:rFonts w:ascii="仿宋_GB2312" w:hAnsi="仿宋_GB2312" w:eastAsia="仿宋_GB2312" w:cs="仿宋_GB2312"/>
          <w:highlight w:val="none"/>
        </w:rPr>
        <w:t>签订地点：</w:t>
      </w:r>
      <w:r>
        <w:rPr>
          <w:rFonts w:hint="default" w:ascii="仿宋_GB2312" w:hAnsi="仿宋_GB2312" w:eastAsia="仿宋_GB2312" w:cs="仿宋_GB2312"/>
          <w:highlight w:val="none"/>
          <w:u w:val="single"/>
          <w:lang w:val="en-US" w:eastAsia="zh-CN"/>
        </w:rPr>
        <w:t xml:space="preserve">          </w:t>
      </w:r>
    </w:p>
    <w:p w14:paraId="4327B99A">
      <w:pPr>
        <w:pStyle w:val="11"/>
        <w:spacing w:line="360" w:lineRule="auto"/>
        <w:jc w:val="left"/>
        <w:rPr>
          <w:highlight w:val="none"/>
        </w:rPr>
      </w:pPr>
      <w:r>
        <w:rPr>
          <w:rFonts w:ascii="仿宋_GB2312" w:hAnsi="仿宋_GB2312" w:eastAsia="仿宋_GB2312" w:cs="仿宋_GB2312"/>
          <w:highlight w:val="none"/>
        </w:rPr>
        <w:t>签订日期：</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日</w:t>
      </w:r>
    </w:p>
    <w:p w14:paraId="5F3FB02E">
      <w:pPr>
        <w:pStyle w:val="11"/>
        <w:jc w:val="left"/>
        <w:rPr>
          <w:highlight w:val="none"/>
        </w:rPr>
      </w:pPr>
    </w:p>
    <w:p w14:paraId="5BAEA45F">
      <w:pPr>
        <w:pStyle w:val="11"/>
        <w:jc w:val="left"/>
        <w:rPr>
          <w:highlight w:val="none"/>
        </w:rPr>
      </w:pPr>
    </w:p>
    <w:p w14:paraId="42893C04">
      <w:pPr>
        <w:pStyle w:val="11"/>
        <w:jc w:val="left"/>
        <w:rPr>
          <w:highlight w:val="none"/>
        </w:rPr>
      </w:pPr>
    </w:p>
    <w:p w14:paraId="1712D9FD">
      <w:pPr>
        <w:pStyle w:val="11"/>
        <w:jc w:val="left"/>
        <w:rPr>
          <w:highlight w:val="none"/>
        </w:rPr>
      </w:pPr>
    </w:p>
    <w:p w14:paraId="0F7702BC">
      <w:pPr>
        <w:pStyle w:val="11"/>
        <w:jc w:val="left"/>
        <w:rPr>
          <w:highlight w:val="none"/>
        </w:rPr>
      </w:pPr>
    </w:p>
    <w:p w14:paraId="5243B7D4">
      <w:pPr>
        <w:pStyle w:val="11"/>
        <w:jc w:val="left"/>
        <w:rPr>
          <w:highlight w:val="none"/>
        </w:rPr>
      </w:pPr>
    </w:p>
    <w:p w14:paraId="4413EB8A">
      <w:pPr>
        <w:pStyle w:val="11"/>
        <w:jc w:val="left"/>
        <w:rPr>
          <w:highlight w:val="none"/>
        </w:rPr>
      </w:pPr>
    </w:p>
    <w:p w14:paraId="237C23CD">
      <w:pPr>
        <w:pStyle w:val="11"/>
        <w:jc w:val="left"/>
        <w:rPr>
          <w:highlight w:val="none"/>
        </w:rPr>
      </w:pPr>
    </w:p>
    <w:p w14:paraId="3239D07F">
      <w:pPr>
        <w:pStyle w:val="11"/>
        <w:jc w:val="left"/>
        <w:rPr>
          <w:highlight w:val="none"/>
        </w:rPr>
      </w:pPr>
    </w:p>
    <w:p w14:paraId="38D73F4F">
      <w:pPr>
        <w:pStyle w:val="11"/>
        <w:jc w:val="left"/>
        <w:rPr>
          <w:highlight w:val="none"/>
        </w:rPr>
      </w:pPr>
    </w:p>
    <w:p w14:paraId="50BD6798">
      <w:pPr>
        <w:pStyle w:val="11"/>
        <w:jc w:val="left"/>
        <w:rPr>
          <w:highlight w:val="none"/>
        </w:rPr>
      </w:pPr>
    </w:p>
    <w:p w14:paraId="453FC03C">
      <w:pPr>
        <w:pStyle w:val="11"/>
        <w:jc w:val="left"/>
        <w:rPr>
          <w:highlight w:val="none"/>
        </w:rPr>
      </w:pPr>
    </w:p>
    <w:p w14:paraId="5A2293F2">
      <w:pPr>
        <w:pStyle w:val="11"/>
        <w:jc w:val="left"/>
        <w:rPr>
          <w:highlight w:val="none"/>
        </w:rPr>
      </w:pPr>
    </w:p>
    <w:p w14:paraId="6F6A2F46">
      <w:pPr>
        <w:pStyle w:val="11"/>
        <w:jc w:val="left"/>
        <w:rPr>
          <w:highlight w:val="none"/>
        </w:rPr>
      </w:pPr>
    </w:p>
    <w:p w14:paraId="0AB49A72">
      <w:pPr>
        <w:pStyle w:val="11"/>
        <w:jc w:val="left"/>
        <w:rPr>
          <w:highlight w:val="none"/>
        </w:rPr>
      </w:pPr>
    </w:p>
    <w:p w14:paraId="26C6ECE0">
      <w:pPr>
        <w:pStyle w:val="11"/>
        <w:jc w:val="left"/>
        <w:rPr>
          <w:highlight w:val="none"/>
        </w:rPr>
      </w:pPr>
    </w:p>
    <w:p w14:paraId="5EA77EC2">
      <w:pPr>
        <w:pStyle w:val="11"/>
        <w:jc w:val="left"/>
        <w:rPr>
          <w:highlight w:val="none"/>
        </w:rPr>
      </w:pPr>
    </w:p>
    <w:p w14:paraId="700F0216">
      <w:pPr>
        <w:jc w:val="left"/>
        <w:rPr>
          <w:highlight w:val="none"/>
        </w:rPr>
      </w:pPr>
      <w:r>
        <w:rPr>
          <w:highlight w:val="none"/>
        </w:rPr>
        <w:br w:type="page"/>
      </w:r>
    </w:p>
    <w:p w14:paraId="767C0522">
      <w:pPr>
        <w:pStyle w:val="11"/>
        <w:jc w:val="left"/>
        <w:rPr>
          <w:highlight w:val="none"/>
        </w:rPr>
      </w:pPr>
    </w:p>
    <w:p w14:paraId="1E180ED0">
      <w:pPr>
        <w:pStyle w:val="11"/>
        <w:jc w:val="center"/>
        <w:outlineLvl w:val="1"/>
        <w:rPr>
          <w:highlight w:val="none"/>
        </w:rPr>
      </w:pPr>
      <w:bookmarkStart w:id="20" w:name="_Toc1110727163_WPSOffice_Level1"/>
      <w:r>
        <w:rPr>
          <w:rFonts w:ascii="仿宋_GB2312" w:hAnsi="仿宋_GB2312" w:eastAsia="仿宋_GB2312" w:cs="仿宋_GB2312"/>
          <w:b/>
          <w:sz w:val="36"/>
          <w:highlight w:val="none"/>
        </w:rPr>
        <w:t>第六章 响应文件格式</w:t>
      </w:r>
      <w:bookmarkEnd w:id="20"/>
    </w:p>
    <w:p w14:paraId="2517A2F4">
      <w:pPr>
        <w:pStyle w:val="11"/>
        <w:jc w:val="center"/>
        <w:outlineLvl w:val="2"/>
        <w:rPr>
          <w:highlight w:val="none"/>
        </w:rPr>
      </w:pPr>
      <w:r>
        <w:rPr>
          <w:rFonts w:ascii="仿宋_GB2312" w:hAnsi="仿宋_GB2312" w:eastAsia="仿宋_GB2312" w:cs="仿宋_GB2312"/>
          <w:b/>
          <w:sz w:val="28"/>
          <w:highlight w:val="none"/>
        </w:rPr>
        <w:t>封面</w:t>
      </w:r>
    </w:p>
    <w:p w14:paraId="3EAC2FCB">
      <w:pPr>
        <w:pStyle w:val="11"/>
        <w:jc w:val="center"/>
        <w:outlineLvl w:val="0"/>
        <w:rPr>
          <w:highlight w:val="none"/>
        </w:rPr>
      </w:pPr>
      <w:r>
        <w:rPr>
          <w:rFonts w:hint="eastAsia" w:ascii="仿宋_GB2312" w:hAnsi="仿宋_GB2312" w:eastAsia="仿宋_GB2312" w:cs="仿宋_GB2312"/>
          <w:b/>
          <w:sz w:val="48"/>
          <w:highlight w:val="none"/>
          <w:lang w:eastAsia="zh-CN"/>
        </w:rPr>
        <w:t>国有企业采购服务</w:t>
      </w:r>
      <w:r>
        <w:rPr>
          <w:rFonts w:ascii="仿宋_GB2312" w:hAnsi="仿宋_GB2312" w:eastAsia="仿宋_GB2312" w:cs="仿宋_GB2312"/>
          <w:b/>
          <w:sz w:val="48"/>
          <w:highlight w:val="none"/>
        </w:rPr>
        <w:t>项目</w:t>
      </w:r>
    </w:p>
    <w:p w14:paraId="2328622E">
      <w:pPr>
        <w:pStyle w:val="11"/>
        <w:jc w:val="center"/>
        <w:outlineLvl w:val="9"/>
        <w:rPr>
          <w:highlight w:val="none"/>
        </w:rPr>
      </w:pPr>
      <w:r>
        <w:rPr>
          <w:rFonts w:ascii="仿宋_GB2312" w:hAnsi="仿宋_GB2312" w:eastAsia="仿宋_GB2312" w:cs="仿宋_GB2312"/>
          <w:b/>
          <w:sz w:val="48"/>
          <w:highlight w:val="none"/>
        </w:rPr>
        <w:t>响应文件</w:t>
      </w:r>
      <w:r>
        <w:rPr>
          <w:highlight w:val="none"/>
        </w:rPr>
        <w:br w:type="textWrapping"/>
      </w:r>
      <w:r>
        <w:rPr>
          <w:highlight w:val="none"/>
        </w:rPr>
        <w:br w:type="textWrapping"/>
      </w:r>
      <w:r>
        <w:rPr>
          <w:highlight w:val="none"/>
        </w:rPr>
        <w:br w:type="textWrapping"/>
      </w:r>
    </w:p>
    <w:p w14:paraId="538DA681">
      <w:pPr>
        <w:pStyle w:val="11"/>
        <w:jc w:val="center"/>
        <w:outlineLvl w:val="9"/>
        <w:rPr>
          <w:highlight w:val="none"/>
        </w:rPr>
      </w:pPr>
    </w:p>
    <w:p w14:paraId="0C856A80">
      <w:pPr>
        <w:pStyle w:val="11"/>
        <w:jc w:val="center"/>
        <w:outlineLvl w:val="9"/>
        <w:rPr>
          <w:highlight w:val="none"/>
        </w:rPr>
      </w:pPr>
    </w:p>
    <w:p w14:paraId="611819C7">
      <w:pPr>
        <w:pStyle w:val="11"/>
        <w:jc w:val="center"/>
        <w:outlineLvl w:val="9"/>
        <w:rPr>
          <w:highlight w:val="none"/>
        </w:rPr>
      </w:pPr>
    </w:p>
    <w:p w14:paraId="451B5370">
      <w:pPr>
        <w:pStyle w:val="11"/>
        <w:jc w:val="center"/>
        <w:outlineLvl w:val="9"/>
        <w:rPr>
          <w:highlight w:val="none"/>
        </w:rPr>
      </w:pPr>
      <w:r>
        <w:rPr>
          <w:highlight w:val="none"/>
        </w:rPr>
        <w:br w:type="textWrapping"/>
      </w:r>
    </w:p>
    <w:p w14:paraId="3DCFB563">
      <w:pPr>
        <w:pStyle w:val="11"/>
        <w:jc w:val="center"/>
        <w:outlineLvl w:val="9"/>
        <w:rPr>
          <w:highlight w:val="none"/>
        </w:rPr>
      </w:pPr>
      <w:r>
        <w:rPr>
          <w:rFonts w:ascii="仿宋_GB2312" w:hAnsi="仿宋_GB2312" w:eastAsia="仿宋_GB2312" w:cs="仿宋_GB2312"/>
          <w:b/>
          <w:sz w:val="28"/>
          <w:highlight w:val="none"/>
        </w:rPr>
        <w:t>项目名称：</w:t>
      </w:r>
      <w:r>
        <w:rPr>
          <w:rFonts w:ascii="仿宋_GB2312" w:hAnsi="仿宋_GB2312" w:eastAsia="仿宋_GB2312" w:cs="仿宋_GB2312"/>
          <w:b/>
          <w:sz w:val="28"/>
          <w:highlight w:val="none"/>
          <w:u w:val="single"/>
        </w:rPr>
        <w:t>　　　　　</w:t>
      </w:r>
    </w:p>
    <w:p w14:paraId="604C7D2A">
      <w:pPr>
        <w:pStyle w:val="11"/>
        <w:jc w:val="center"/>
        <w:outlineLvl w:val="9"/>
        <w:rPr>
          <w:highlight w:val="none"/>
        </w:rPr>
      </w:pPr>
      <w:r>
        <w:rPr>
          <w:rFonts w:ascii="仿宋_GB2312" w:hAnsi="仿宋_GB2312" w:eastAsia="仿宋_GB2312" w:cs="仿宋_GB2312"/>
          <w:b/>
          <w:sz w:val="28"/>
          <w:highlight w:val="none"/>
        </w:rPr>
        <w:t>项目编号：</w:t>
      </w:r>
      <w:r>
        <w:rPr>
          <w:rFonts w:ascii="仿宋_GB2312" w:hAnsi="仿宋_GB2312" w:eastAsia="仿宋_GB2312" w:cs="仿宋_GB2312"/>
          <w:b/>
          <w:sz w:val="28"/>
          <w:highlight w:val="none"/>
          <w:u w:val="single"/>
        </w:rPr>
        <w:t>　　　　　</w:t>
      </w:r>
    </w:p>
    <w:p w14:paraId="7CB834DF">
      <w:pPr>
        <w:pStyle w:val="11"/>
        <w:jc w:val="center"/>
        <w:outlineLvl w:val="9"/>
        <w:rPr>
          <w:highlight w:val="none"/>
        </w:rPr>
      </w:pPr>
      <w:r>
        <w:rPr>
          <w:rFonts w:ascii="仿宋_GB2312" w:hAnsi="仿宋_GB2312" w:eastAsia="仿宋_GB2312" w:cs="仿宋_GB2312"/>
          <w:b/>
          <w:sz w:val="28"/>
          <w:highlight w:val="none"/>
        </w:rPr>
        <w:t>采购包：</w:t>
      </w:r>
      <w:r>
        <w:rPr>
          <w:rFonts w:ascii="仿宋_GB2312" w:hAnsi="仿宋_GB2312" w:eastAsia="仿宋_GB2312" w:cs="仿宋_GB2312"/>
          <w:b/>
          <w:sz w:val="28"/>
          <w:highlight w:val="none"/>
          <w:u w:val="single"/>
        </w:rPr>
        <w:t>　　　　　</w:t>
      </w:r>
      <w:r>
        <w:rPr>
          <w:highlight w:val="none"/>
        </w:rPr>
        <w:br w:type="textWrapping"/>
      </w:r>
      <w:r>
        <w:rPr>
          <w:highlight w:val="none"/>
        </w:rPr>
        <w:br w:type="textWrapping"/>
      </w:r>
      <w:r>
        <w:rPr>
          <w:highlight w:val="none"/>
        </w:rPr>
        <w:br w:type="textWrapping"/>
      </w:r>
      <w:r>
        <w:rPr>
          <w:highlight w:val="none"/>
        </w:rPr>
        <w:br w:type="textWrapping"/>
      </w:r>
    </w:p>
    <w:p w14:paraId="241EE962">
      <w:pPr>
        <w:pStyle w:val="11"/>
        <w:jc w:val="center"/>
        <w:outlineLvl w:val="9"/>
        <w:rPr>
          <w:highlight w:val="none"/>
        </w:rPr>
      </w:pPr>
      <w:r>
        <w:rPr>
          <w:rFonts w:ascii="仿宋_GB2312" w:hAnsi="仿宋_GB2312" w:eastAsia="仿宋_GB2312" w:cs="仿宋_GB2312"/>
          <w:b/>
          <w:sz w:val="28"/>
          <w:highlight w:val="none"/>
        </w:rPr>
        <w:t>供应商名称：</w:t>
      </w:r>
    </w:p>
    <w:p w14:paraId="64498D44">
      <w:pPr>
        <w:pStyle w:val="11"/>
        <w:jc w:val="center"/>
        <w:outlineLvl w:val="9"/>
        <w:rPr>
          <w:highlight w:val="none"/>
        </w:rPr>
      </w:pPr>
      <w:r>
        <w:rPr>
          <w:rFonts w:ascii="仿宋_GB2312" w:hAnsi="仿宋_GB2312" w:eastAsia="仿宋_GB2312" w:cs="仿宋_GB2312"/>
          <w:b/>
          <w:sz w:val="28"/>
          <w:highlight w:val="none"/>
        </w:rPr>
        <w:t>日期：</w:t>
      </w:r>
    </w:p>
    <w:p w14:paraId="07875241">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F7D7BA">
      <w:pPr>
        <w:pStyle w:val="11"/>
        <w:jc w:val="center"/>
        <w:outlineLvl w:val="2"/>
        <w:rPr>
          <w:highlight w:val="none"/>
        </w:rPr>
      </w:pPr>
      <w:r>
        <w:rPr>
          <w:rFonts w:ascii="仿宋_GB2312" w:hAnsi="仿宋_GB2312" w:eastAsia="仿宋_GB2312" w:cs="仿宋_GB2312"/>
          <w:b/>
          <w:sz w:val="28"/>
          <w:highlight w:val="none"/>
        </w:rPr>
        <w:t>目录</w:t>
      </w:r>
    </w:p>
    <w:p w14:paraId="76762A15">
      <w:pPr>
        <w:pStyle w:val="11"/>
        <w:spacing w:line="360" w:lineRule="auto"/>
        <w:ind w:firstLine="480"/>
        <w:jc w:val="left"/>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响应声明</w:t>
      </w:r>
    </w:p>
    <w:p w14:paraId="022D260D">
      <w:pPr>
        <w:pStyle w:val="11"/>
        <w:spacing w:line="360" w:lineRule="auto"/>
        <w:ind w:firstLine="480"/>
        <w:jc w:val="left"/>
        <w:rPr>
          <w:highlight w:val="none"/>
        </w:rPr>
      </w:pPr>
      <w:r>
        <w:rPr>
          <w:rFonts w:ascii="仿宋_GB2312" w:hAnsi="仿宋_GB2312" w:eastAsia="仿宋_GB2312" w:cs="仿宋_GB2312"/>
          <w:highlight w:val="none"/>
        </w:rPr>
        <w:t>2、报价一览表</w:t>
      </w:r>
    </w:p>
    <w:p w14:paraId="72792A79">
      <w:pPr>
        <w:pStyle w:val="11"/>
        <w:spacing w:line="360" w:lineRule="auto"/>
        <w:ind w:firstLine="480"/>
        <w:jc w:val="left"/>
        <w:rPr>
          <w:highlight w:val="none"/>
        </w:rPr>
      </w:pPr>
      <w:r>
        <w:rPr>
          <w:rFonts w:ascii="仿宋_GB2312" w:hAnsi="仿宋_GB2312" w:eastAsia="仿宋_GB2312" w:cs="仿宋_GB2312"/>
          <w:highlight w:val="none"/>
        </w:rPr>
        <w:t>3、响应报价明细表</w:t>
      </w:r>
    </w:p>
    <w:p w14:paraId="2F69E7BD">
      <w:pPr>
        <w:pStyle w:val="11"/>
        <w:spacing w:line="360" w:lineRule="auto"/>
        <w:ind w:firstLine="480"/>
        <w:jc w:val="left"/>
        <w:rPr>
          <w:highlight w:val="none"/>
        </w:rPr>
      </w:pPr>
      <w:r>
        <w:rPr>
          <w:rFonts w:ascii="仿宋_GB2312" w:hAnsi="仿宋_GB2312" w:eastAsia="仿宋_GB2312" w:cs="仿宋_GB2312"/>
          <w:highlight w:val="none"/>
        </w:rPr>
        <w:t>4、资格证明文件</w:t>
      </w:r>
    </w:p>
    <w:p w14:paraId="774D4255">
      <w:pPr>
        <w:pStyle w:val="11"/>
        <w:spacing w:line="360" w:lineRule="auto"/>
        <w:ind w:firstLine="480"/>
        <w:jc w:val="left"/>
        <w:rPr>
          <w:rFonts w:ascii="仿宋_GB2312" w:hAnsi="仿宋_GB2312" w:eastAsia="仿宋_GB2312" w:cs="仿宋_GB2312"/>
          <w:highlight w:val="none"/>
        </w:rPr>
      </w:pPr>
      <w:r>
        <w:rPr>
          <w:rFonts w:ascii="仿宋_GB2312" w:hAnsi="仿宋_GB2312" w:eastAsia="仿宋_GB2312" w:cs="仿宋_GB2312"/>
          <w:highlight w:val="none"/>
        </w:rPr>
        <w:t>4-1单位负责人授权书</w:t>
      </w:r>
    </w:p>
    <w:p w14:paraId="30FADB7C">
      <w:pPr>
        <w:pStyle w:val="11"/>
        <w:spacing w:line="360" w:lineRule="auto"/>
        <w:ind w:firstLine="480"/>
        <w:jc w:val="left"/>
        <w:rPr>
          <w:rFonts w:ascii="仿宋_GB2312" w:hAnsi="仿宋_GB2312" w:eastAsia="仿宋_GB2312" w:cs="仿宋_GB2312"/>
          <w:highlight w:val="none"/>
        </w:rPr>
      </w:pPr>
      <w:r>
        <w:rPr>
          <w:rFonts w:ascii="仿宋_GB2312" w:hAnsi="仿宋_GB2312" w:eastAsia="仿宋_GB2312" w:cs="仿宋_GB2312"/>
          <w:b w:val="0"/>
          <w:sz w:val="20"/>
          <w:highlight w:val="none"/>
        </w:rPr>
        <w:t>4-2 证明材料</w:t>
      </w:r>
    </w:p>
    <w:p w14:paraId="1D1B30EC">
      <w:pPr>
        <w:pStyle w:val="11"/>
        <w:spacing w:line="360" w:lineRule="auto"/>
        <w:ind w:firstLine="480"/>
        <w:jc w:val="left"/>
        <w:rPr>
          <w:highlight w:val="none"/>
        </w:rPr>
      </w:pPr>
      <w:r>
        <w:rPr>
          <w:rFonts w:ascii="仿宋_GB2312" w:hAnsi="仿宋_GB2312" w:eastAsia="仿宋_GB2312" w:cs="仿宋_GB2312"/>
          <w:highlight w:val="none"/>
        </w:rPr>
        <w:t>4-3财务状况报告</w:t>
      </w:r>
    </w:p>
    <w:p w14:paraId="31930670">
      <w:pPr>
        <w:pStyle w:val="11"/>
        <w:spacing w:line="360" w:lineRule="auto"/>
        <w:ind w:firstLine="480"/>
        <w:jc w:val="left"/>
        <w:rPr>
          <w:highlight w:val="none"/>
        </w:rPr>
      </w:pPr>
      <w:r>
        <w:rPr>
          <w:rFonts w:ascii="仿宋_GB2312" w:hAnsi="仿宋_GB2312" w:eastAsia="仿宋_GB2312" w:cs="仿宋_GB2312"/>
          <w:highlight w:val="none"/>
        </w:rPr>
        <w:t>4-4依法缴纳税收证明材料</w:t>
      </w:r>
    </w:p>
    <w:p w14:paraId="424680FA">
      <w:pPr>
        <w:pStyle w:val="11"/>
        <w:spacing w:line="360" w:lineRule="auto"/>
        <w:ind w:firstLine="480"/>
        <w:jc w:val="left"/>
        <w:rPr>
          <w:highlight w:val="none"/>
        </w:rPr>
      </w:pPr>
      <w:r>
        <w:rPr>
          <w:rFonts w:ascii="仿宋_GB2312" w:hAnsi="仿宋_GB2312" w:eastAsia="仿宋_GB2312" w:cs="仿宋_GB2312"/>
          <w:highlight w:val="none"/>
        </w:rPr>
        <w:t>4-5依法缴纳社会保障资金证明材料</w:t>
      </w:r>
    </w:p>
    <w:p w14:paraId="6221CC15">
      <w:pPr>
        <w:pStyle w:val="11"/>
        <w:spacing w:line="360" w:lineRule="auto"/>
        <w:ind w:firstLine="480"/>
        <w:jc w:val="left"/>
        <w:rPr>
          <w:highlight w:val="none"/>
        </w:rPr>
      </w:pPr>
      <w:r>
        <w:rPr>
          <w:rFonts w:ascii="仿宋_GB2312" w:hAnsi="仿宋_GB2312" w:eastAsia="仿宋_GB2312" w:cs="仿宋_GB2312"/>
          <w:highlight w:val="none"/>
        </w:rPr>
        <w:t>4-6具备履行合同所必需设备和专业技术能力证明材料</w:t>
      </w:r>
    </w:p>
    <w:p w14:paraId="09EB14F4">
      <w:pPr>
        <w:pStyle w:val="11"/>
        <w:spacing w:line="360" w:lineRule="auto"/>
        <w:ind w:firstLine="480"/>
        <w:jc w:val="left"/>
        <w:rPr>
          <w:highlight w:val="none"/>
        </w:rPr>
      </w:pPr>
      <w:r>
        <w:rPr>
          <w:rFonts w:ascii="仿宋_GB2312" w:hAnsi="仿宋_GB2312" w:eastAsia="仿宋_GB2312" w:cs="仿宋_GB2312"/>
          <w:highlight w:val="none"/>
        </w:rPr>
        <w:t>4-7参加采购活动前三年内在经营活动中没有重大违法记录书面声明</w:t>
      </w:r>
    </w:p>
    <w:p w14:paraId="08C24EE3">
      <w:pPr>
        <w:pStyle w:val="11"/>
        <w:spacing w:line="360" w:lineRule="auto"/>
        <w:ind w:firstLine="480"/>
        <w:jc w:val="left"/>
        <w:rPr>
          <w:highlight w:val="none"/>
        </w:rPr>
      </w:pPr>
      <w:r>
        <w:rPr>
          <w:rFonts w:ascii="仿宋_GB2312" w:hAnsi="仿宋_GB2312" w:eastAsia="仿宋_GB2312" w:cs="仿宋_GB2312"/>
          <w:highlight w:val="none"/>
        </w:rPr>
        <w:t>4-8信用记录查询结果</w:t>
      </w:r>
    </w:p>
    <w:p w14:paraId="3C059C40">
      <w:pPr>
        <w:pStyle w:val="11"/>
        <w:spacing w:line="360" w:lineRule="auto"/>
        <w:ind w:firstLine="480"/>
        <w:jc w:val="left"/>
        <w:rPr>
          <w:highlight w:val="none"/>
        </w:rPr>
      </w:pPr>
      <w:r>
        <w:rPr>
          <w:rFonts w:ascii="仿宋_GB2312" w:hAnsi="仿宋_GB2312" w:eastAsia="仿宋_GB2312" w:cs="仿宋_GB2312"/>
          <w:highlight w:val="none"/>
        </w:rPr>
        <w:t>5、技术要求响应表</w:t>
      </w:r>
    </w:p>
    <w:p w14:paraId="52B1B206">
      <w:pPr>
        <w:pStyle w:val="11"/>
        <w:spacing w:line="360" w:lineRule="auto"/>
        <w:ind w:firstLine="480"/>
        <w:jc w:val="left"/>
        <w:rPr>
          <w:rFonts w:ascii="仿宋_GB2312" w:hAnsi="仿宋_GB2312" w:eastAsia="仿宋_GB2312" w:cs="仿宋_GB2312"/>
          <w:highlight w:val="none"/>
        </w:rPr>
      </w:pPr>
      <w:r>
        <w:rPr>
          <w:rFonts w:ascii="仿宋_GB2312" w:hAnsi="仿宋_GB2312" w:eastAsia="仿宋_GB2312" w:cs="仿宋_GB2312"/>
          <w:highlight w:val="none"/>
        </w:rPr>
        <w:t>6、商务条件响应表</w:t>
      </w:r>
    </w:p>
    <w:p w14:paraId="3B3C3B78">
      <w:pPr>
        <w:pStyle w:val="11"/>
        <w:spacing w:line="360" w:lineRule="auto"/>
        <w:ind w:firstLine="480"/>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相关技术、商务、服务响应承诺及资料</w:t>
      </w:r>
    </w:p>
    <w:p w14:paraId="4B961958">
      <w:pPr>
        <w:pStyle w:val="11"/>
        <w:spacing w:line="360" w:lineRule="auto"/>
        <w:ind w:firstLine="480"/>
        <w:jc w:val="left"/>
        <w:rPr>
          <w:highlight w:val="none"/>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、联合体协议（若有）</w:t>
      </w:r>
    </w:p>
    <w:p w14:paraId="104A1C4D">
      <w:pPr>
        <w:pStyle w:val="11"/>
        <w:spacing w:line="360" w:lineRule="auto"/>
        <w:ind w:firstLine="480"/>
        <w:jc w:val="left"/>
        <w:rPr>
          <w:highlight w:val="none"/>
        </w:rPr>
      </w:pPr>
      <w:r>
        <w:rPr>
          <w:rFonts w:hint="eastAsia" w:ascii="仿宋_GB2312" w:hAnsi="仿宋_GB2312" w:eastAsia="仿宋_GB2312" w:cs="仿宋_GB2312"/>
          <w:highlight w:val="none"/>
          <w:lang w:val="en-US" w:eastAsia="zh-CN"/>
        </w:rPr>
        <w:t>9</w:t>
      </w:r>
      <w:r>
        <w:rPr>
          <w:rFonts w:ascii="仿宋_GB2312" w:hAnsi="仿宋_GB2312" w:eastAsia="仿宋_GB2312" w:cs="仿宋_GB2312"/>
          <w:highlight w:val="none"/>
        </w:rPr>
        <w:t>、分包意向协议（若有）</w:t>
      </w:r>
    </w:p>
    <w:p w14:paraId="2DE9F285">
      <w:pPr>
        <w:pStyle w:val="11"/>
        <w:spacing w:line="360" w:lineRule="auto"/>
        <w:ind w:firstLine="480"/>
        <w:jc w:val="left"/>
        <w:rPr>
          <w:highlight w:val="none"/>
        </w:rPr>
      </w:pP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保证金凭证</w:t>
      </w:r>
    </w:p>
    <w:p w14:paraId="3C44B9DB">
      <w:pPr>
        <w:pStyle w:val="11"/>
        <w:spacing w:line="360" w:lineRule="auto"/>
        <w:ind w:firstLine="480"/>
        <w:jc w:val="left"/>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、要求作为响应文件组成部分的其他材料（若有）</w:t>
      </w:r>
    </w:p>
    <w:p w14:paraId="23797803">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49B04D">
      <w:pPr>
        <w:pStyle w:val="11"/>
        <w:jc w:val="center"/>
        <w:outlineLvl w:val="2"/>
        <w:rPr>
          <w:highlight w:val="none"/>
        </w:rPr>
      </w:pPr>
      <w:r>
        <w:rPr>
          <w:rFonts w:ascii="仿宋_GB2312" w:hAnsi="仿宋_GB2312" w:eastAsia="仿宋_GB2312" w:cs="仿宋_GB2312"/>
          <w:b/>
          <w:sz w:val="28"/>
          <w:highlight w:val="none"/>
        </w:rPr>
        <w:t>1、</w:t>
      </w:r>
      <w:r>
        <w:rPr>
          <w:rFonts w:hint="eastAsia" w:ascii="仿宋_GB2312" w:hAnsi="仿宋_GB2312" w:eastAsia="仿宋_GB2312" w:cs="仿宋_GB2312"/>
          <w:b/>
          <w:sz w:val="28"/>
          <w:highlight w:val="none"/>
          <w:lang w:eastAsia="zh-CN"/>
        </w:rPr>
        <w:t>询比</w:t>
      </w:r>
      <w:r>
        <w:rPr>
          <w:rFonts w:ascii="仿宋_GB2312" w:hAnsi="仿宋_GB2312" w:eastAsia="仿宋_GB2312" w:cs="仿宋_GB2312"/>
          <w:b/>
          <w:sz w:val="28"/>
          <w:highlight w:val="none"/>
        </w:rPr>
        <w:t>响应声明</w:t>
      </w:r>
    </w:p>
    <w:p w14:paraId="4998C9CD">
      <w:pPr>
        <w:pStyle w:val="11"/>
        <w:spacing w:line="400" w:lineRule="exact"/>
        <w:ind w:firstLine="482"/>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 xml:space="preserve">          （采购人或采购代理机构）</w:t>
      </w:r>
    </w:p>
    <w:p w14:paraId="7939BF61">
      <w:pPr>
        <w:pStyle w:val="11"/>
        <w:spacing w:line="400" w:lineRule="exact"/>
        <w:ind w:firstLine="482"/>
        <w:jc w:val="left"/>
        <w:rPr>
          <w:highlight w:val="none"/>
        </w:rPr>
      </w:pPr>
      <w:bookmarkStart w:id="21" w:name="OLE_LINK12"/>
      <w:r>
        <w:rPr>
          <w:rFonts w:ascii="仿宋_GB2312" w:hAnsi="仿宋_GB2312" w:eastAsia="仿宋_GB2312" w:cs="仿宋_GB2312"/>
          <w:highlight w:val="none"/>
        </w:rPr>
        <w:t>根据贵方为</w:t>
      </w:r>
      <w:r>
        <w:rPr>
          <w:rFonts w:ascii="仿宋_GB2312" w:hAnsi="仿宋_GB2312" w:eastAsia="仿宋_GB2312" w:cs="仿宋_GB2312"/>
          <w:highlight w:val="none"/>
          <w:u w:val="single"/>
        </w:rPr>
        <w:t xml:space="preserve">     （项目名称）</w:t>
      </w:r>
      <w:r>
        <w:rPr>
          <w:rFonts w:hint="default" w:ascii="仿宋_GB2312" w:hAnsi="仿宋_GB2312" w:eastAsia="仿宋_GB2312" w:cs="仿宋_GB2312"/>
          <w:highlight w:val="none"/>
          <w:u w:val="single"/>
          <w:lang w:val="en-US"/>
        </w:rPr>
        <w:t xml:space="preserve">    </w:t>
      </w: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）的</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，本人</w:t>
      </w:r>
      <w:r>
        <w:rPr>
          <w:rFonts w:ascii="仿宋_GB2312" w:hAnsi="仿宋_GB2312" w:eastAsia="仿宋_GB2312" w:cs="仿宋_GB2312"/>
          <w:highlight w:val="none"/>
          <w:u w:val="single"/>
        </w:rPr>
        <w:t xml:space="preserve"> （全名、职务）</w:t>
      </w:r>
      <w:r>
        <w:rPr>
          <w:rFonts w:ascii="仿宋_GB2312" w:hAnsi="仿宋_GB2312" w:eastAsia="仿宋_GB2312" w:cs="仿宋_GB2312"/>
          <w:highlight w:val="none"/>
        </w:rPr>
        <w:t>代表供应商</w:t>
      </w:r>
      <w:r>
        <w:rPr>
          <w:rFonts w:ascii="仿宋_GB2312" w:hAnsi="仿宋_GB2312" w:eastAsia="仿宋_GB2312" w:cs="仿宋_GB2312"/>
          <w:highlight w:val="none"/>
          <w:u w:val="single"/>
        </w:rPr>
        <w:t xml:space="preserve">          （供应商名称、地址）</w:t>
      </w:r>
      <w:r>
        <w:rPr>
          <w:rFonts w:ascii="仿宋_GB2312" w:hAnsi="仿宋_GB2312" w:eastAsia="仿宋_GB2312" w:cs="仿宋_GB2312"/>
          <w:highlight w:val="none"/>
        </w:rPr>
        <w:t>提交响应文件正本</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份，副本</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lang w:val="en-US" w:eastAsia="zh-CN"/>
        </w:rPr>
        <w:t>份</w:t>
      </w:r>
      <w:r>
        <w:rPr>
          <w:rFonts w:ascii="仿宋_GB2312" w:hAnsi="仿宋_GB2312" w:eastAsia="仿宋_GB2312" w:cs="仿宋_GB2312"/>
          <w:highlight w:val="none"/>
        </w:rPr>
        <w:t>及电子文档</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lang w:val="en-US" w:eastAsia="zh-CN"/>
        </w:rPr>
        <w:t>份</w:t>
      </w:r>
      <w:r>
        <w:rPr>
          <w:rFonts w:ascii="仿宋_GB2312" w:hAnsi="仿宋_GB2312" w:eastAsia="仿宋_GB2312" w:cs="仿宋_GB2312"/>
          <w:highlight w:val="none"/>
        </w:rPr>
        <w:t>。</w:t>
      </w:r>
    </w:p>
    <w:bookmarkEnd w:id="21"/>
    <w:p w14:paraId="150F29D6">
      <w:pPr>
        <w:pStyle w:val="11"/>
        <w:spacing w:line="400" w:lineRule="exact"/>
        <w:ind w:firstLine="482"/>
        <w:jc w:val="left"/>
        <w:rPr>
          <w:highlight w:val="none"/>
        </w:rPr>
      </w:pPr>
      <w:r>
        <w:rPr>
          <w:rFonts w:ascii="仿宋_GB2312" w:hAnsi="仿宋_GB2312" w:eastAsia="仿宋_GB2312" w:cs="仿宋_GB2312"/>
          <w:highlight w:val="none"/>
        </w:rPr>
        <w:t>一、我方同意在本项目</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中规定的递交响应文件截止时间起</w:t>
      </w:r>
      <w:r>
        <w:rPr>
          <w:rFonts w:ascii="仿宋_GB2312" w:hAnsi="仿宋_GB2312" w:eastAsia="仿宋_GB2312" w:cs="仿宋_GB2312"/>
          <w:highlight w:val="none"/>
          <w:u w:val="single"/>
        </w:rPr>
        <w:t xml:space="preserve">  </w:t>
      </w:r>
      <w:r>
        <w:rPr>
          <w:rFonts w:hint="default" w:ascii="仿宋_GB2312" w:hAnsi="仿宋_GB2312" w:eastAsia="仿宋_GB2312" w:cs="仿宋_GB2312"/>
          <w:highlight w:val="none"/>
          <w:u w:val="single"/>
          <w:lang w:val="en-US"/>
        </w:rPr>
        <w:t xml:space="preserve">   </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天内（响应文件有效期）遵守本响应文件中的承诺，且在此期限期满之前均具有约束力。</w:t>
      </w:r>
    </w:p>
    <w:p w14:paraId="7674BF5C">
      <w:pPr>
        <w:pStyle w:val="11"/>
        <w:spacing w:line="400" w:lineRule="exact"/>
        <w:ind w:firstLine="482"/>
        <w:jc w:val="left"/>
        <w:rPr>
          <w:highlight w:val="none"/>
        </w:rPr>
      </w:pPr>
      <w:r>
        <w:rPr>
          <w:rFonts w:ascii="仿宋_GB2312" w:hAnsi="仿宋_GB2312" w:eastAsia="仿宋_GB2312" w:cs="仿宋_GB2312"/>
          <w:highlight w:val="none"/>
        </w:rPr>
        <w:t>二、我方已详细审核全部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，包括</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修改文件（如有的话）、参考资料及有关附件，确认无误。我方承诺接受</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中的全部条款且无任何异议。</w:t>
      </w:r>
    </w:p>
    <w:p w14:paraId="3BADDA71">
      <w:pPr>
        <w:pStyle w:val="11"/>
        <w:spacing w:line="400" w:lineRule="exact"/>
        <w:ind w:firstLine="482"/>
        <w:jc w:val="left"/>
        <w:rPr>
          <w:highlight w:val="none"/>
        </w:rPr>
      </w:pPr>
      <w:r>
        <w:rPr>
          <w:rFonts w:ascii="仿宋_GB2312" w:hAnsi="仿宋_GB2312" w:eastAsia="仿宋_GB2312" w:cs="仿宋_GB2312"/>
          <w:highlight w:val="none"/>
        </w:rPr>
        <w:t>三、我方承诺我方满足</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中要求的供应商的资格要求的法定条件和特定条件。</w:t>
      </w:r>
    </w:p>
    <w:p w14:paraId="7B57522E">
      <w:pPr>
        <w:pStyle w:val="11"/>
        <w:spacing w:line="400" w:lineRule="exact"/>
        <w:ind w:firstLine="482"/>
        <w:jc w:val="left"/>
        <w:rPr>
          <w:highlight w:val="none"/>
        </w:rPr>
      </w:pPr>
      <w:r>
        <w:rPr>
          <w:rFonts w:ascii="仿宋_GB2312" w:hAnsi="仿宋_GB2312" w:eastAsia="仿宋_GB2312" w:cs="仿宋_GB2312"/>
          <w:highlight w:val="none"/>
        </w:rPr>
        <w:t>四、我方保证响应文件提供的数据和材料是真实、合法的。我方愿意向贵方提供任何与本项目采购有关的数据、情况和技术资料。若贵方需要，我方愿意提供我方作出的一切承诺的证明材料。</w:t>
      </w:r>
    </w:p>
    <w:p w14:paraId="0A5C9802">
      <w:pPr>
        <w:pStyle w:val="11"/>
        <w:spacing w:line="400" w:lineRule="exact"/>
        <w:ind w:firstLine="482"/>
        <w:jc w:val="left"/>
        <w:rPr>
          <w:highlight w:val="none"/>
        </w:rPr>
      </w:pPr>
      <w:r>
        <w:rPr>
          <w:rFonts w:ascii="仿宋_GB2312" w:hAnsi="仿宋_GB2312" w:eastAsia="仿宋_GB2312" w:cs="仿宋_GB2312"/>
          <w:highlight w:val="none"/>
        </w:rPr>
        <w:t>五、我方承诺遵守</w:t>
      </w:r>
      <w:r>
        <w:rPr>
          <w:rFonts w:hint="eastAsia" w:ascii="仿宋_GB2312" w:hAnsi="仿宋_GB2312" w:eastAsia="仿宋_GB2312" w:cs="仿宋_GB2312"/>
          <w:highlight w:val="none"/>
          <w:lang w:eastAsia="zh-CN"/>
        </w:rPr>
        <w:t>法律法规</w:t>
      </w:r>
      <w:r>
        <w:rPr>
          <w:rFonts w:ascii="仿宋_GB2312" w:hAnsi="仿宋_GB2312" w:eastAsia="仿宋_GB2312" w:cs="仿宋_GB2312"/>
          <w:highlight w:val="none"/>
        </w:rPr>
        <w:t>有关规定，按照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确定的事项签订采购合同，并承担合同规定的责任和义务。</w:t>
      </w:r>
    </w:p>
    <w:p w14:paraId="6AB479DD">
      <w:pPr>
        <w:pStyle w:val="11"/>
        <w:spacing w:line="400" w:lineRule="exact"/>
        <w:ind w:firstLine="482"/>
        <w:jc w:val="left"/>
        <w:rPr>
          <w:highlight w:val="none"/>
        </w:rPr>
      </w:pPr>
      <w:r>
        <w:rPr>
          <w:rFonts w:ascii="仿宋_GB2312" w:hAnsi="仿宋_GB2312" w:eastAsia="仿宋_GB2312" w:cs="仿宋_GB2312"/>
          <w:highlight w:val="none"/>
        </w:rPr>
        <w:t>六、</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保证金：我方承诺，若出现</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规定的不予退还情形，同意贵单位不予退还。</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保证金或保函有效期与响应文件有效期保持一致。</w:t>
      </w:r>
    </w:p>
    <w:p w14:paraId="5882BD99">
      <w:pPr>
        <w:pStyle w:val="11"/>
        <w:spacing w:line="400" w:lineRule="exact"/>
        <w:ind w:firstLine="482"/>
        <w:jc w:val="left"/>
        <w:rPr>
          <w:highlight w:val="none"/>
        </w:rPr>
      </w:pPr>
      <w:r>
        <w:rPr>
          <w:rFonts w:ascii="仿宋_GB2312" w:hAnsi="仿宋_GB2312" w:eastAsia="仿宋_GB2312" w:cs="仿宋_GB2312"/>
          <w:highlight w:val="none"/>
        </w:rPr>
        <w:t>七、我方承诺遵守《中华人民共和国劳动合同法》有关规定和《中华人民共和国妇女权益保障法 》中关于“劳动和社会保障权益”的有关要求。</w:t>
      </w:r>
    </w:p>
    <w:p w14:paraId="6CDF772E">
      <w:pPr>
        <w:pStyle w:val="11"/>
        <w:spacing w:line="400" w:lineRule="exact"/>
        <w:ind w:firstLine="482"/>
        <w:jc w:val="left"/>
        <w:rPr>
          <w:highlight w:val="none"/>
        </w:rPr>
      </w:pPr>
      <w:r>
        <w:rPr>
          <w:rFonts w:ascii="仿宋_GB2312" w:hAnsi="仿宋_GB2312" w:eastAsia="仿宋_GB2312" w:cs="仿宋_GB2312"/>
          <w:highlight w:val="none"/>
        </w:rPr>
        <w:t>八、我方承诺响应文件所提供的全部资料真实可靠，并接受</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小组、采购人、采购代理机构、监管部门进一步审查其中任何资料真实性的要求。</w:t>
      </w:r>
    </w:p>
    <w:p w14:paraId="4DCFE7DD">
      <w:pPr>
        <w:pStyle w:val="11"/>
        <w:spacing w:line="400" w:lineRule="exact"/>
        <w:ind w:firstLine="482"/>
        <w:jc w:val="left"/>
        <w:rPr>
          <w:highlight w:val="none"/>
        </w:rPr>
      </w:pPr>
      <w:r>
        <w:rPr>
          <w:rFonts w:ascii="仿宋_GB2312" w:hAnsi="仿宋_GB2312" w:eastAsia="仿宋_GB2312" w:cs="仿宋_GB2312"/>
          <w:highlight w:val="none"/>
        </w:rPr>
        <w:t>九、除</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另有规定外，对于贵单位按照下述联络方式发出的任何信息或通知，均视为我方已收悉前述信息或通知的全部内容：</w:t>
      </w:r>
    </w:p>
    <w:p w14:paraId="7647EA6B">
      <w:pPr>
        <w:pStyle w:val="11"/>
        <w:spacing w:line="400" w:lineRule="exact"/>
        <w:ind w:firstLine="482"/>
        <w:jc w:val="left"/>
        <w:rPr>
          <w:highlight w:val="none"/>
        </w:rPr>
      </w:pPr>
      <w:r>
        <w:rPr>
          <w:rFonts w:ascii="仿宋_GB2312" w:hAnsi="仿宋_GB2312" w:eastAsia="仿宋_GB2312" w:cs="仿宋_GB2312"/>
          <w:highlight w:val="none"/>
        </w:rPr>
        <w:t>通信地址：</w:t>
      </w:r>
      <w:r>
        <w:rPr>
          <w:rFonts w:ascii="仿宋_GB2312" w:hAnsi="仿宋_GB2312" w:eastAsia="仿宋_GB2312" w:cs="仿宋_GB2312"/>
          <w:highlight w:val="none"/>
          <w:u w:val="single"/>
        </w:rPr>
        <w:t xml:space="preserve">       </w:t>
      </w:r>
    </w:p>
    <w:p w14:paraId="05AC81F2">
      <w:pPr>
        <w:pStyle w:val="11"/>
        <w:spacing w:line="400" w:lineRule="exact"/>
        <w:ind w:firstLine="482"/>
        <w:jc w:val="left"/>
        <w:rPr>
          <w:highlight w:val="none"/>
        </w:rPr>
      </w:pPr>
      <w:r>
        <w:rPr>
          <w:rFonts w:ascii="仿宋_GB2312" w:hAnsi="仿宋_GB2312" w:eastAsia="仿宋_GB2312" w:cs="仿宋_GB2312"/>
          <w:highlight w:val="none"/>
        </w:rPr>
        <w:t>邮编：</w:t>
      </w:r>
      <w:r>
        <w:rPr>
          <w:rFonts w:ascii="仿宋_GB2312" w:hAnsi="仿宋_GB2312" w:eastAsia="仿宋_GB2312" w:cs="仿宋_GB2312"/>
          <w:highlight w:val="none"/>
          <w:u w:val="single"/>
        </w:rPr>
        <w:t xml:space="preserve">       </w:t>
      </w:r>
    </w:p>
    <w:p w14:paraId="6440A02B">
      <w:pPr>
        <w:pStyle w:val="11"/>
        <w:spacing w:line="400" w:lineRule="exact"/>
        <w:ind w:firstLine="482"/>
        <w:jc w:val="left"/>
        <w:rPr>
          <w:highlight w:val="none"/>
        </w:rPr>
      </w:pPr>
      <w:r>
        <w:rPr>
          <w:rFonts w:ascii="仿宋_GB2312" w:hAnsi="仿宋_GB2312" w:eastAsia="仿宋_GB2312" w:cs="仿宋_GB2312"/>
          <w:highlight w:val="none"/>
        </w:rPr>
        <w:t>联系方式：</w:t>
      </w:r>
      <w:r>
        <w:rPr>
          <w:rFonts w:ascii="仿宋_GB2312" w:hAnsi="仿宋_GB2312" w:eastAsia="仿宋_GB2312" w:cs="仿宋_GB2312"/>
          <w:highlight w:val="none"/>
          <w:u w:val="single"/>
        </w:rPr>
        <w:t>（包括但不限于：联系人、联系电话、手机、传真、电子邮箱等）</w:t>
      </w:r>
      <w:r>
        <w:rPr>
          <w:highlight w:val="none"/>
        </w:rPr>
        <w:br w:type="textWrapping"/>
      </w:r>
      <w:r>
        <w:rPr>
          <w:highlight w:val="none"/>
        </w:rPr>
        <w:br w:type="textWrapping"/>
      </w:r>
      <w:r>
        <w:rPr>
          <w:highlight w:val="none"/>
        </w:rPr>
        <w:br w:type="textWrapping"/>
      </w:r>
    </w:p>
    <w:p w14:paraId="4701BB70">
      <w:pPr>
        <w:pStyle w:val="11"/>
        <w:spacing w:line="400" w:lineRule="exact"/>
        <w:ind w:firstLine="482"/>
        <w:jc w:val="left"/>
        <w:rPr>
          <w:highlight w:val="none"/>
        </w:rPr>
      </w:pPr>
      <w:r>
        <w:rPr>
          <w:rFonts w:ascii="仿宋_GB2312" w:hAnsi="仿宋_GB2312" w:eastAsia="仿宋_GB2312" w:cs="仿宋_GB2312"/>
          <w:highlight w:val="none"/>
        </w:rPr>
        <w:t>供应商名称（盖公章）：</w:t>
      </w:r>
      <w:r>
        <w:rPr>
          <w:rFonts w:ascii="仿宋_GB2312" w:hAnsi="仿宋_GB2312" w:eastAsia="仿宋_GB2312" w:cs="仿宋_GB2312"/>
          <w:highlight w:val="none"/>
          <w:u w:val="single"/>
        </w:rPr>
        <w:t xml:space="preserve">       </w:t>
      </w:r>
    </w:p>
    <w:p w14:paraId="3213BB56">
      <w:pPr>
        <w:pStyle w:val="11"/>
        <w:spacing w:line="400" w:lineRule="exact"/>
        <w:ind w:firstLine="482"/>
        <w:jc w:val="left"/>
        <w:rPr>
          <w:highlight w:val="none"/>
        </w:rPr>
      </w:pPr>
      <w:r>
        <w:rPr>
          <w:rFonts w:ascii="仿宋_GB2312" w:hAnsi="仿宋_GB2312" w:eastAsia="仿宋_GB2312" w:cs="仿宋_GB2312"/>
          <w:highlight w:val="none"/>
        </w:rPr>
        <w:t>法定代表人或授权代表（签字或盖章）：</w:t>
      </w:r>
      <w:r>
        <w:rPr>
          <w:rFonts w:ascii="仿宋_GB2312" w:hAnsi="仿宋_GB2312" w:eastAsia="仿宋_GB2312" w:cs="仿宋_GB2312"/>
          <w:highlight w:val="none"/>
          <w:u w:val="single"/>
        </w:rPr>
        <w:t xml:space="preserve">       </w:t>
      </w:r>
    </w:p>
    <w:p w14:paraId="2ECDBE88">
      <w:pPr>
        <w:pStyle w:val="11"/>
        <w:spacing w:line="400" w:lineRule="exact"/>
        <w:ind w:firstLine="482"/>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p>
    <w:p w14:paraId="7E7A1F54">
      <w:pPr>
        <w:pStyle w:val="11"/>
        <w:jc w:val="center"/>
        <w:outlineLvl w:val="2"/>
        <w:rPr>
          <w:rFonts w:ascii="仿宋_GB2312" w:hAnsi="仿宋_GB2312" w:eastAsia="仿宋_GB2312" w:cs="仿宋_GB2312"/>
          <w:b/>
          <w:sz w:val="28"/>
          <w:highlight w:val="none"/>
        </w:rPr>
      </w:pPr>
      <w:bookmarkStart w:id="22" w:name="OLE_LINK15"/>
      <w:r>
        <w:rPr>
          <w:rFonts w:hint="eastAsia" w:ascii="仿宋_GB2312" w:hAnsi="仿宋_GB2312" w:eastAsia="仿宋_GB2312" w:cs="仿宋_GB2312"/>
          <w:b/>
          <w:sz w:val="28"/>
          <w:highlight w:val="none"/>
          <w:lang w:val="en-US"/>
        </w:rPr>
        <w:t>2</w:t>
      </w:r>
      <w:r>
        <w:rPr>
          <w:rFonts w:hint="eastAsia" w:ascii="仿宋_GB2312" w:hAnsi="仿宋_GB2312" w:eastAsia="仿宋_GB2312" w:cs="仿宋_GB2312"/>
          <w:b/>
          <w:sz w:val="28"/>
          <w:highlight w:val="none"/>
          <w:lang w:val="en-US" w:eastAsia="zh-CN"/>
        </w:rPr>
        <w:t>、</w:t>
      </w:r>
      <w:r>
        <w:rPr>
          <w:rFonts w:ascii="仿宋_GB2312" w:hAnsi="仿宋_GB2312" w:eastAsia="仿宋_GB2312" w:cs="仿宋_GB2312"/>
          <w:b/>
          <w:sz w:val="28"/>
          <w:highlight w:val="none"/>
        </w:rPr>
        <w:t>报价一览表</w:t>
      </w:r>
    </w:p>
    <w:p w14:paraId="049A68F0">
      <w:pPr>
        <w:pStyle w:val="11"/>
        <w:spacing w:line="480" w:lineRule="auto"/>
        <w:ind w:right="1650"/>
        <w:jc w:val="left"/>
        <w:rPr>
          <w:rFonts w:hint="default" w:ascii="仿宋_GB2312" w:hAnsi="仿宋_GB2312" w:eastAsia="仿宋_GB2312" w:cs="仿宋_GB2312"/>
          <w:highlight w:val="none"/>
          <w:u w:val="single"/>
          <w:lang w:val="en-US"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u w:val="single"/>
          <w:lang w:val="en-US" w:eastAsia="zh-CN"/>
        </w:rPr>
        <w:t xml:space="preserve">                        </w:t>
      </w:r>
    </w:p>
    <w:p w14:paraId="07D47FCC">
      <w:pPr>
        <w:pStyle w:val="11"/>
        <w:spacing w:line="480" w:lineRule="auto"/>
        <w:jc w:val="left"/>
        <w:rPr>
          <w:rFonts w:hint="default" w:eastAsia="仿宋_GB2312"/>
          <w:highlight w:val="none"/>
          <w:lang w:val="en-US"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lang w:val="en-US" w:eastAsia="zh-CN"/>
        </w:rPr>
        <w:t xml:space="preserve">   </w:t>
      </w:r>
    </w:p>
    <w:p w14:paraId="106C3CF4">
      <w:pPr>
        <w:pStyle w:val="11"/>
        <w:spacing w:line="480" w:lineRule="auto"/>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u w:val="single"/>
          <w:lang w:val="en-US" w:eastAsia="zh-CN"/>
        </w:rPr>
        <w:t xml:space="preserve">              /          </w:t>
      </w:r>
    </w:p>
    <w:p w14:paraId="2389C99B">
      <w:pPr>
        <w:pStyle w:val="11"/>
        <w:spacing w:line="480" w:lineRule="auto"/>
        <w:jc w:val="left"/>
        <w:rPr>
          <w:rFonts w:hint="eastAsia" w:ascii="仿宋_GB2312" w:hAnsi="仿宋_GB2312" w:eastAsia="仿宋_GB2312" w:cs="仿宋_GB2312"/>
          <w:highlight w:val="none"/>
          <w:u w:val="single"/>
          <w:lang w:val="en-US" w:eastAsia="zh-CN"/>
        </w:rPr>
      </w:pPr>
      <w:r>
        <w:rPr>
          <w:rFonts w:ascii="仿宋_GB2312" w:hAnsi="仿宋_GB2312" w:eastAsia="仿宋_GB2312" w:cs="仿宋_GB2312"/>
          <w:highlight w:val="none"/>
        </w:rPr>
        <w:t>供应商名称：</w:t>
      </w:r>
      <w:r>
        <w:rPr>
          <w:rFonts w:hint="eastAsia" w:ascii="仿宋_GB2312" w:hAnsi="仿宋_GB2312" w:eastAsia="仿宋_GB2312" w:cs="仿宋_GB2312"/>
          <w:highlight w:val="none"/>
          <w:u w:val="single"/>
          <w:lang w:val="en-US" w:eastAsia="zh-CN"/>
        </w:rPr>
        <w:t xml:space="preserve">                        </w:t>
      </w:r>
    </w:p>
    <w:p w14:paraId="4C212C4F">
      <w:pPr>
        <w:pStyle w:val="11"/>
        <w:spacing w:line="480" w:lineRule="auto"/>
        <w:ind w:firstLine="6200" w:firstLineChars="3100"/>
        <w:jc w:val="left"/>
        <w:rPr>
          <w:highlight w:val="none"/>
        </w:rPr>
      </w:pPr>
      <w:r>
        <w:rPr>
          <w:rFonts w:hint="eastAsia" w:ascii="仿宋_GB2312" w:hAnsi="仿宋_GB2312" w:eastAsia="仿宋_GB2312" w:cs="仿宋_GB2312"/>
          <w:highlight w:val="none"/>
          <w:u w:val="none"/>
          <w:lang w:val="en-US" w:eastAsia="zh-CN"/>
        </w:rPr>
        <w:t>货币单位：人民币元</w:t>
      </w: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17294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2B4A8361">
            <w:pPr>
              <w:pStyle w:val="11"/>
              <w:spacing w:line="480" w:lineRule="auto"/>
              <w:jc w:val="center"/>
              <w:rPr>
                <w:highlight w:val="none"/>
              </w:rPr>
            </w:pPr>
            <w:r>
              <w:rPr>
                <w:rFonts w:ascii="仿宋_GB2312" w:hAnsi="仿宋_GB2312" w:eastAsia="仿宋_GB2312" w:cs="仿宋_GB2312"/>
                <w:highlight w:val="none"/>
              </w:rPr>
              <w:t>序号</w:t>
            </w:r>
          </w:p>
        </w:tc>
        <w:tc>
          <w:tcPr>
            <w:tcW w:w="1661" w:type="dxa"/>
            <w:vAlign w:val="center"/>
          </w:tcPr>
          <w:p w14:paraId="2859548C">
            <w:pPr>
              <w:pStyle w:val="11"/>
              <w:spacing w:line="480" w:lineRule="auto"/>
              <w:jc w:val="center"/>
              <w:rPr>
                <w:rFonts w:hint="eastAsia" w:eastAsiaTheme="minorEastAsia"/>
                <w:highlight w:val="none"/>
                <w:lang w:eastAsia="zh-CN"/>
              </w:rPr>
            </w:pPr>
            <w:r>
              <w:rPr>
                <w:rFonts w:hint="eastAsia"/>
                <w:highlight w:val="none"/>
                <w:lang w:eastAsia="zh-CN"/>
              </w:rPr>
              <w:t>项目名称</w:t>
            </w:r>
          </w:p>
        </w:tc>
        <w:tc>
          <w:tcPr>
            <w:tcW w:w="1661" w:type="dxa"/>
            <w:vAlign w:val="center"/>
          </w:tcPr>
          <w:p w14:paraId="04D853AE">
            <w:pPr>
              <w:pStyle w:val="11"/>
              <w:spacing w:line="480" w:lineRule="auto"/>
              <w:jc w:val="center"/>
              <w:rPr>
                <w:highlight w:val="none"/>
              </w:rPr>
            </w:pPr>
            <w:r>
              <w:rPr>
                <w:rFonts w:ascii="仿宋_GB2312" w:hAnsi="仿宋_GB2312" w:eastAsia="仿宋_GB2312" w:cs="仿宋_GB2312"/>
                <w:highlight w:val="none"/>
              </w:rPr>
              <w:t>最高限价</w:t>
            </w:r>
          </w:p>
        </w:tc>
        <w:tc>
          <w:tcPr>
            <w:tcW w:w="1661" w:type="dxa"/>
            <w:vAlign w:val="center"/>
          </w:tcPr>
          <w:p w14:paraId="462CCDA7">
            <w:pPr>
              <w:pStyle w:val="11"/>
              <w:spacing w:line="480" w:lineRule="auto"/>
              <w:jc w:val="center"/>
              <w:rPr>
                <w:highlight w:val="none"/>
              </w:rPr>
            </w:pPr>
            <w:r>
              <w:rPr>
                <w:rFonts w:ascii="仿宋_GB2312" w:hAnsi="仿宋_GB2312" w:eastAsia="仿宋_GB2312" w:cs="仿宋_GB2312"/>
                <w:highlight w:val="none"/>
              </w:rPr>
              <w:t>响应报价</w:t>
            </w:r>
          </w:p>
        </w:tc>
        <w:tc>
          <w:tcPr>
            <w:tcW w:w="1661" w:type="dxa"/>
            <w:vAlign w:val="center"/>
          </w:tcPr>
          <w:p w14:paraId="159B39EB">
            <w:pPr>
              <w:pStyle w:val="11"/>
              <w:spacing w:line="480" w:lineRule="auto"/>
              <w:jc w:val="center"/>
              <w:rPr>
                <w:highlight w:val="none"/>
              </w:rPr>
            </w:pPr>
            <w:r>
              <w:rPr>
                <w:rFonts w:ascii="仿宋_GB2312" w:hAnsi="仿宋_GB2312" w:eastAsia="仿宋_GB2312" w:cs="仿宋_GB2312"/>
                <w:highlight w:val="none"/>
              </w:rPr>
              <w:t>价款形式</w:t>
            </w:r>
          </w:p>
        </w:tc>
      </w:tr>
      <w:tr w14:paraId="3FB06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76F3D390">
            <w:pPr>
              <w:pStyle w:val="11"/>
              <w:spacing w:line="480" w:lineRule="auto"/>
              <w:jc w:val="center"/>
              <w:rPr>
                <w:highlight w:val="none"/>
              </w:rPr>
            </w:pPr>
          </w:p>
        </w:tc>
        <w:tc>
          <w:tcPr>
            <w:tcW w:w="1661" w:type="dxa"/>
            <w:vAlign w:val="center"/>
          </w:tcPr>
          <w:p w14:paraId="5955E316">
            <w:pPr>
              <w:pStyle w:val="11"/>
              <w:spacing w:line="480" w:lineRule="auto"/>
              <w:jc w:val="center"/>
              <w:rPr>
                <w:highlight w:val="none"/>
              </w:rPr>
            </w:pPr>
          </w:p>
        </w:tc>
        <w:tc>
          <w:tcPr>
            <w:tcW w:w="1661" w:type="dxa"/>
            <w:vAlign w:val="center"/>
          </w:tcPr>
          <w:p w14:paraId="72C0CFA2">
            <w:pPr>
              <w:pStyle w:val="11"/>
              <w:spacing w:line="480" w:lineRule="auto"/>
              <w:jc w:val="center"/>
              <w:rPr>
                <w:rFonts w:hint="default" w:eastAsiaTheme="minorEastAsia"/>
                <w:highlight w:val="none"/>
                <w:lang w:val="en-US" w:eastAsia="zh-CN"/>
              </w:rPr>
            </w:pPr>
          </w:p>
        </w:tc>
        <w:tc>
          <w:tcPr>
            <w:tcW w:w="1661" w:type="dxa"/>
            <w:vAlign w:val="center"/>
          </w:tcPr>
          <w:p w14:paraId="08685649">
            <w:pPr>
              <w:pStyle w:val="11"/>
              <w:spacing w:line="480" w:lineRule="auto"/>
              <w:jc w:val="center"/>
              <w:rPr>
                <w:highlight w:val="none"/>
              </w:rPr>
            </w:pPr>
          </w:p>
        </w:tc>
        <w:tc>
          <w:tcPr>
            <w:tcW w:w="1661" w:type="dxa"/>
            <w:vAlign w:val="center"/>
          </w:tcPr>
          <w:p w14:paraId="385D92CB">
            <w:pPr>
              <w:pStyle w:val="11"/>
              <w:spacing w:line="480" w:lineRule="auto"/>
              <w:jc w:val="center"/>
              <w:rPr>
                <w:highlight w:val="none"/>
              </w:rPr>
            </w:pPr>
          </w:p>
        </w:tc>
      </w:tr>
    </w:tbl>
    <w:p w14:paraId="38E045A1">
      <w:pPr>
        <w:pStyle w:val="11"/>
        <w:spacing w:line="480" w:lineRule="auto"/>
        <w:ind w:firstLine="0"/>
        <w:jc w:val="both"/>
        <w:rPr>
          <w:rFonts w:ascii="仿宋_GB2312" w:hAnsi="仿宋_GB2312" w:eastAsia="仿宋_GB2312" w:cs="仿宋_GB2312"/>
          <w:highlight w:val="none"/>
        </w:rPr>
      </w:pPr>
    </w:p>
    <w:p w14:paraId="1C73413B">
      <w:pPr>
        <w:pStyle w:val="11"/>
        <w:spacing w:line="480" w:lineRule="auto"/>
        <w:ind w:firstLine="480"/>
        <w:jc w:val="right"/>
        <w:rPr>
          <w:highlight w:val="none"/>
        </w:rPr>
      </w:pPr>
      <w:bookmarkStart w:id="23" w:name="OLE_LINK14"/>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6CB1F527">
      <w:pPr>
        <w:pStyle w:val="11"/>
        <w:spacing w:line="480" w:lineRule="auto"/>
        <w:ind w:firstLine="480"/>
        <w:jc w:val="center"/>
        <w:rPr>
          <w:highlight w:val="none"/>
        </w:rPr>
      </w:pPr>
      <w:r>
        <w:rPr>
          <w:rFonts w:hint="default" w:ascii="仿宋_GB2312" w:hAnsi="仿宋_GB2312" w:eastAsia="仿宋_GB2312" w:cs="仿宋_GB2312"/>
          <w:highlight w:val="none"/>
          <w:lang w:val="en-US"/>
        </w:rPr>
        <w:t xml:space="preserve">                               </w:t>
      </w: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r>
        <w:rPr>
          <w:rFonts w:hint="default" w:ascii="仿宋_GB2312" w:hAnsi="仿宋_GB2312" w:eastAsia="仿宋_GB2312" w:cs="仿宋_GB2312"/>
          <w:highlight w:val="none"/>
          <w:u w:val="single"/>
          <w:lang w:val="en-US"/>
        </w:rPr>
        <w:t xml:space="preserve">      </w:t>
      </w:r>
      <w:r>
        <w:rPr>
          <w:rFonts w:ascii="仿宋_GB2312" w:hAnsi="仿宋_GB2312" w:eastAsia="仿宋_GB2312" w:cs="仿宋_GB2312"/>
          <w:highlight w:val="none"/>
          <w:u w:val="single"/>
        </w:rPr>
        <w:t xml:space="preserve">    </w:t>
      </w:r>
    </w:p>
    <w:p w14:paraId="40963804">
      <w:pPr>
        <w:pStyle w:val="11"/>
        <w:ind w:firstLine="4600" w:firstLineChars="230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bookmarkEnd w:id="22"/>
      <w:r>
        <w:rPr>
          <w:rFonts w:ascii="仿宋_GB2312" w:hAnsi="仿宋_GB2312" w:eastAsia="仿宋_GB2312" w:cs="仿宋_GB2312"/>
          <w:highlight w:val="none"/>
        </w:rPr>
        <w:t xml:space="preserve">日      </w:t>
      </w:r>
    </w:p>
    <w:bookmarkEnd w:id="23"/>
    <w:p w14:paraId="0A210BD4">
      <w:pPr>
        <w:pStyle w:val="11"/>
        <w:jc w:val="left"/>
        <w:outlineLvl w:val="9"/>
        <w:rPr>
          <w:rFonts w:ascii="仿宋_GB2312" w:hAnsi="仿宋_GB2312" w:eastAsia="仿宋_GB2312" w:cs="仿宋_GB2312"/>
          <w:b/>
          <w:sz w:val="48"/>
          <w:highlight w:val="none"/>
        </w:rPr>
      </w:pPr>
    </w:p>
    <w:p w14:paraId="762751D0">
      <w:pPr>
        <w:pStyle w:val="11"/>
        <w:jc w:val="left"/>
        <w:outlineLvl w:val="9"/>
        <w:rPr>
          <w:rFonts w:ascii="仿宋_GB2312" w:hAnsi="仿宋_GB2312" w:eastAsia="仿宋_GB2312" w:cs="仿宋_GB2312"/>
          <w:b/>
          <w:sz w:val="48"/>
          <w:highlight w:val="none"/>
        </w:rPr>
      </w:pPr>
    </w:p>
    <w:p w14:paraId="2B2AF86C">
      <w:pPr>
        <w:pStyle w:val="11"/>
        <w:jc w:val="left"/>
        <w:outlineLvl w:val="9"/>
        <w:rPr>
          <w:rFonts w:ascii="仿宋_GB2312" w:hAnsi="仿宋_GB2312" w:eastAsia="仿宋_GB2312" w:cs="仿宋_GB2312"/>
          <w:b/>
          <w:sz w:val="48"/>
          <w:highlight w:val="none"/>
        </w:rPr>
      </w:pPr>
    </w:p>
    <w:p w14:paraId="5A4DA450">
      <w:pPr>
        <w:pStyle w:val="11"/>
        <w:jc w:val="left"/>
        <w:outlineLvl w:val="9"/>
        <w:rPr>
          <w:rFonts w:ascii="仿宋_GB2312" w:hAnsi="仿宋_GB2312" w:eastAsia="仿宋_GB2312" w:cs="仿宋_GB2312"/>
          <w:b/>
          <w:sz w:val="48"/>
          <w:highlight w:val="none"/>
        </w:rPr>
      </w:pPr>
    </w:p>
    <w:p w14:paraId="7F21E4DA">
      <w:pPr>
        <w:pStyle w:val="11"/>
        <w:jc w:val="left"/>
        <w:outlineLvl w:val="9"/>
        <w:rPr>
          <w:rFonts w:ascii="仿宋_GB2312" w:hAnsi="仿宋_GB2312" w:eastAsia="仿宋_GB2312" w:cs="仿宋_GB2312"/>
          <w:b/>
          <w:sz w:val="48"/>
          <w:highlight w:val="none"/>
        </w:rPr>
      </w:pPr>
    </w:p>
    <w:p w14:paraId="4FB71329">
      <w:pPr>
        <w:pStyle w:val="11"/>
        <w:jc w:val="left"/>
        <w:outlineLvl w:val="9"/>
        <w:rPr>
          <w:rFonts w:ascii="仿宋_GB2312" w:hAnsi="仿宋_GB2312" w:eastAsia="仿宋_GB2312" w:cs="仿宋_GB2312"/>
          <w:b/>
          <w:sz w:val="48"/>
          <w:highlight w:val="none"/>
        </w:rPr>
      </w:pPr>
    </w:p>
    <w:p w14:paraId="253B4D18">
      <w:pPr>
        <w:pStyle w:val="11"/>
        <w:jc w:val="left"/>
        <w:outlineLvl w:val="9"/>
        <w:rPr>
          <w:rFonts w:ascii="仿宋_GB2312" w:hAnsi="仿宋_GB2312" w:eastAsia="仿宋_GB2312" w:cs="仿宋_GB2312"/>
          <w:b/>
          <w:sz w:val="48"/>
          <w:highlight w:val="none"/>
        </w:rPr>
      </w:pPr>
    </w:p>
    <w:p w14:paraId="74F29FCE">
      <w:pPr>
        <w:pStyle w:val="11"/>
        <w:jc w:val="left"/>
        <w:outlineLvl w:val="9"/>
        <w:rPr>
          <w:rFonts w:ascii="仿宋_GB2312" w:hAnsi="仿宋_GB2312" w:eastAsia="仿宋_GB2312" w:cs="仿宋_GB2312"/>
          <w:b/>
          <w:sz w:val="48"/>
          <w:highlight w:val="none"/>
        </w:rPr>
      </w:pPr>
    </w:p>
    <w:p w14:paraId="7D0DD305">
      <w:pPr>
        <w:pStyle w:val="11"/>
        <w:jc w:val="left"/>
        <w:outlineLvl w:val="9"/>
        <w:rPr>
          <w:rFonts w:ascii="仿宋_GB2312" w:hAnsi="仿宋_GB2312" w:eastAsia="仿宋_GB2312" w:cs="仿宋_GB2312"/>
          <w:b/>
          <w:sz w:val="48"/>
          <w:highlight w:val="none"/>
        </w:rPr>
      </w:pPr>
    </w:p>
    <w:p w14:paraId="431DD203">
      <w:pPr>
        <w:pStyle w:val="11"/>
        <w:jc w:val="left"/>
        <w:outlineLvl w:val="9"/>
        <w:rPr>
          <w:rFonts w:ascii="仿宋_GB2312" w:hAnsi="仿宋_GB2312" w:eastAsia="仿宋_GB2312" w:cs="仿宋_GB2312"/>
          <w:b/>
          <w:sz w:val="48"/>
          <w:highlight w:val="none"/>
        </w:rPr>
      </w:pPr>
    </w:p>
    <w:p w14:paraId="2D61252F">
      <w:pPr>
        <w:rPr>
          <w:rFonts w:hint="eastAsia" w:ascii="仿宋_GB2312" w:hAnsi="仿宋_GB2312" w:eastAsia="仿宋_GB2312" w:cs="仿宋_GB2312"/>
          <w:b/>
          <w:sz w:val="28"/>
          <w:szCs w:val="20"/>
          <w:highlight w:val="none"/>
          <w:lang w:val="en-US"/>
        </w:rPr>
      </w:pPr>
      <w:r>
        <w:rPr>
          <w:rFonts w:hint="eastAsia" w:ascii="仿宋_GB2312" w:hAnsi="仿宋_GB2312" w:eastAsia="仿宋_GB2312" w:cs="仿宋_GB2312"/>
          <w:b/>
          <w:sz w:val="28"/>
          <w:szCs w:val="20"/>
          <w:highlight w:val="none"/>
          <w:lang w:val="en-US"/>
        </w:rPr>
        <w:br w:type="page"/>
      </w:r>
    </w:p>
    <w:p w14:paraId="6E8275F6">
      <w:pPr>
        <w:pStyle w:val="11"/>
        <w:jc w:val="center"/>
        <w:outlineLvl w:val="2"/>
        <w:rPr>
          <w:rFonts w:hint="default" w:ascii="仿宋_GB2312" w:hAnsi="仿宋_GB2312" w:eastAsia="仿宋_GB2312" w:cs="仿宋_GB2312"/>
          <w:b/>
          <w:sz w:val="28"/>
          <w:highlight w:val="none"/>
        </w:rPr>
      </w:pPr>
      <w:r>
        <w:rPr>
          <w:rFonts w:hint="eastAsia" w:ascii="仿宋_GB2312" w:hAnsi="仿宋_GB2312" w:eastAsia="仿宋_GB2312" w:cs="仿宋_GB2312"/>
          <w:b/>
          <w:sz w:val="28"/>
          <w:szCs w:val="20"/>
          <w:highlight w:val="none"/>
          <w:lang w:val="en-US"/>
        </w:rPr>
        <w:t>3</w:t>
      </w:r>
      <w:r>
        <w:rPr>
          <w:rFonts w:hint="default" w:ascii="仿宋_GB2312" w:hAnsi="仿宋_GB2312" w:eastAsia="仿宋_GB2312" w:cs="仿宋_GB2312"/>
          <w:b/>
          <w:sz w:val="28"/>
          <w:highlight w:val="none"/>
          <w:lang w:val="en-US" w:eastAsia="zh-CN"/>
        </w:rPr>
        <w:t>、</w:t>
      </w:r>
      <w:r>
        <w:rPr>
          <w:rFonts w:hint="default" w:ascii="仿宋_GB2312" w:hAnsi="仿宋_GB2312" w:eastAsia="仿宋_GB2312" w:cs="仿宋_GB2312"/>
          <w:b/>
          <w:sz w:val="28"/>
          <w:highlight w:val="none"/>
        </w:rPr>
        <w:t>响应报价明细表</w:t>
      </w:r>
    </w:p>
    <w:p w14:paraId="6A4E8725">
      <w:pPr>
        <w:pStyle w:val="11"/>
        <w:spacing w:line="480" w:lineRule="auto"/>
        <w:ind w:right="1650"/>
        <w:jc w:val="left"/>
        <w:rPr>
          <w:rFonts w:hint="default" w:eastAsia="仿宋_GB2312"/>
          <w:highlight w:val="none"/>
          <w:u w:val="single"/>
          <w:lang w:val="en-US"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u w:val="single"/>
          <w:lang w:val="en-US" w:eastAsia="zh-CN"/>
        </w:rPr>
        <w:t xml:space="preserve">                        </w:t>
      </w:r>
    </w:p>
    <w:p w14:paraId="440CB05C">
      <w:pPr>
        <w:pStyle w:val="11"/>
        <w:spacing w:line="480" w:lineRule="auto"/>
        <w:jc w:val="left"/>
        <w:rPr>
          <w:rFonts w:hint="default" w:eastAsia="仿宋_GB2312"/>
          <w:highlight w:val="none"/>
          <w:lang w:val="en-US"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lang w:val="en-US" w:eastAsia="zh-CN"/>
        </w:rPr>
        <w:t xml:space="preserve">   </w:t>
      </w:r>
    </w:p>
    <w:p w14:paraId="751DFF5C">
      <w:pPr>
        <w:pStyle w:val="11"/>
        <w:spacing w:line="480" w:lineRule="auto"/>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u w:val="single"/>
          <w:lang w:val="en-US" w:eastAsia="zh-CN"/>
        </w:rPr>
        <w:t xml:space="preserve">           /             </w:t>
      </w:r>
    </w:p>
    <w:p w14:paraId="3FEF08E7">
      <w:pPr>
        <w:pStyle w:val="11"/>
        <w:spacing w:line="480" w:lineRule="auto"/>
        <w:jc w:val="left"/>
        <w:rPr>
          <w:rFonts w:hint="eastAsia" w:ascii="仿宋_GB2312" w:hAnsi="仿宋_GB2312" w:eastAsia="仿宋_GB2312" w:cs="仿宋_GB2312"/>
          <w:highlight w:val="none"/>
          <w:u w:val="single"/>
          <w:lang w:val="en-US" w:eastAsia="zh-CN"/>
        </w:rPr>
      </w:pPr>
      <w:r>
        <w:rPr>
          <w:rFonts w:hint="eastAsia" w:ascii="仿宋_GB2312" w:hAnsi="仿宋_GB2312" w:eastAsia="仿宋_GB2312" w:cs="仿宋_GB2312"/>
          <w:highlight w:val="none"/>
          <w:lang w:val="en-US" w:eastAsia="zh-CN"/>
        </w:rPr>
        <w:t>供应商</w:t>
      </w:r>
      <w:r>
        <w:rPr>
          <w:rFonts w:ascii="仿宋_GB2312" w:hAnsi="仿宋_GB2312" w:eastAsia="仿宋_GB2312" w:cs="仿宋_GB2312"/>
          <w:highlight w:val="none"/>
        </w:rPr>
        <w:t>名称：</w:t>
      </w:r>
      <w:r>
        <w:rPr>
          <w:rFonts w:hint="eastAsia" w:ascii="仿宋_GB2312" w:hAnsi="仿宋_GB2312" w:eastAsia="仿宋_GB2312" w:cs="仿宋_GB2312"/>
          <w:highlight w:val="none"/>
          <w:u w:val="single"/>
          <w:lang w:val="en-US" w:eastAsia="zh-CN"/>
        </w:rPr>
        <w:t xml:space="preserve">                   </w:t>
      </w:r>
    </w:p>
    <w:p w14:paraId="54671477">
      <w:pPr>
        <w:ind w:firstLine="6090" w:firstLineChars="2900"/>
        <w:jc w:val="center"/>
        <w:rPr>
          <w:highlight w:val="none"/>
          <w:u w:val="single"/>
        </w:rPr>
      </w:pPr>
      <w:r>
        <w:rPr>
          <w:rFonts w:hint="eastAsia" w:ascii="仿宋_GB2312" w:hAnsi="仿宋_GB2312" w:eastAsia="仿宋_GB2312" w:cs="仿宋_GB2312"/>
          <w:highlight w:val="none"/>
          <w:u w:val="none"/>
          <w:lang w:val="en-US" w:eastAsia="zh-CN"/>
        </w:rPr>
        <w:t>货币单位：人民币元</w:t>
      </w:r>
    </w:p>
    <w:tbl>
      <w:tblPr>
        <w:tblStyle w:val="9"/>
        <w:tblW w:w="75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tblGrid>
      <w:tr w14:paraId="62A3C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1EA479EE">
            <w:pPr>
              <w:pStyle w:val="11"/>
              <w:spacing w:line="480" w:lineRule="auto"/>
              <w:jc w:val="center"/>
              <w:rPr>
                <w:highlight w:val="none"/>
              </w:rPr>
            </w:pPr>
            <w:r>
              <w:rPr>
                <w:rFonts w:ascii="仿宋_GB2312" w:hAnsi="仿宋_GB2312" w:eastAsia="仿宋_GB2312" w:cs="仿宋_GB2312"/>
                <w:highlight w:val="none"/>
              </w:rPr>
              <w:t>序号</w:t>
            </w:r>
          </w:p>
        </w:tc>
        <w:tc>
          <w:tcPr>
            <w:tcW w:w="755" w:type="dxa"/>
            <w:vAlign w:val="center"/>
          </w:tcPr>
          <w:p w14:paraId="573B1DDE">
            <w:pPr>
              <w:pStyle w:val="11"/>
              <w:spacing w:line="480" w:lineRule="auto"/>
              <w:jc w:val="center"/>
              <w:rPr>
                <w:highlight w:val="none"/>
              </w:rPr>
            </w:pPr>
            <w:r>
              <w:rPr>
                <w:rFonts w:ascii="仿宋_GB2312" w:hAnsi="仿宋_GB2312" w:eastAsia="仿宋_GB2312" w:cs="仿宋_GB2312"/>
                <w:highlight w:val="none"/>
              </w:rPr>
              <w:t>服务名称</w:t>
            </w:r>
          </w:p>
        </w:tc>
        <w:tc>
          <w:tcPr>
            <w:tcW w:w="755" w:type="dxa"/>
            <w:vAlign w:val="center"/>
          </w:tcPr>
          <w:p w14:paraId="31D78050">
            <w:pPr>
              <w:pStyle w:val="11"/>
              <w:spacing w:line="480" w:lineRule="auto"/>
              <w:jc w:val="center"/>
              <w:rPr>
                <w:highlight w:val="none"/>
              </w:rPr>
            </w:pPr>
            <w:r>
              <w:rPr>
                <w:rFonts w:ascii="仿宋_GB2312" w:hAnsi="仿宋_GB2312" w:eastAsia="仿宋_GB2312" w:cs="仿宋_GB2312"/>
                <w:highlight w:val="none"/>
              </w:rPr>
              <w:t>服务范围</w:t>
            </w:r>
          </w:p>
        </w:tc>
        <w:tc>
          <w:tcPr>
            <w:tcW w:w="755" w:type="dxa"/>
            <w:vAlign w:val="center"/>
          </w:tcPr>
          <w:p w14:paraId="67D733BC">
            <w:pPr>
              <w:pStyle w:val="11"/>
              <w:spacing w:line="480" w:lineRule="auto"/>
              <w:jc w:val="center"/>
              <w:rPr>
                <w:highlight w:val="none"/>
              </w:rPr>
            </w:pPr>
            <w:r>
              <w:rPr>
                <w:rFonts w:ascii="仿宋_GB2312" w:hAnsi="仿宋_GB2312" w:eastAsia="仿宋_GB2312" w:cs="仿宋_GB2312"/>
                <w:highlight w:val="none"/>
              </w:rPr>
              <w:t>服务要求</w:t>
            </w:r>
          </w:p>
        </w:tc>
        <w:tc>
          <w:tcPr>
            <w:tcW w:w="755" w:type="dxa"/>
            <w:vAlign w:val="center"/>
          </w:tcPr>
          <w:p w14:paraId="7D435E74">
            <w:pPr>
              <w:pStyle w:val="11"/>
              <w:spacing w:line="480" w:lineRule="auto"/>
              <w:jc w:val="center"/>
              <w:rPr>
                <w:highlight w:val="none"/>
              </w:rPr>
            </w:pPr>
            <w:r>
              <w:rPr>
                <w:rFonts w:ascii="仿宋_GB2312" w:hAnsi="仿宋_GB2312" w:eastAsia="仿宋_GB2312" w:cs="仿宋_GB2312"/>
                <w:highlight w:val="none"/>
              </w:rPr>
              <w:t>服务时间</w:t>
            </w:r>
          </w:p>
        </w:tc>
        <w:tc>
          <w:tcPr>
            <w:tcW w:w="755" w:type="dxa"/>
            <w:vAlign w:val="center"/>
          </w:tcPr>
          <w:p w14:paraId="7A07AB46">
            <w:pPr>
              <w:pStyle w:val="11"/>
              <w:spacing w:line="480" w:lineRule="auto"/>
              <w:jc w:val="center"/>
              <w:rPr>
                <w:highlight w:val="none"/>
              </w:rPr>
            </w:pPr>
            <w:r>
              <w:rPr>
                <w:rFonts w:ascii="仿宋_GB2312" w:hAnsi="仿宋_GB2312" w:eastAsia="仿宋_GB2312" w:cs="仿宋_GB2312"/>
                <w:highlight w:val="none"/>
              </w:rPr>
              <w:t>服务标准</w:t>
            </w:r>
          </w:p>
        </w:tc>
        <w:tc>
          <w:tcPr>
            <w:tcW w:w="755" w:type="dxa"/>
            <w:vAlign w:val="center"/>
          </w:tcPr>
          <w:p w14:paraId="503608F3">
            <w:pPr>
              <w:pStyle w:val="11"/>
              <w:spacing w:line="480" w:lineRule="auto"/>
              <w:jc w:val="center"/>
              <w:rPr>
                <w:highlight w:val="none"/>
              </w:rPr>
            </w:pPr>
            <w:r>
              <w:rPr>
                <w:rFonts w:ascii="仿宋_GB2312" w:hAnsi="仿宋_GB2312" w:eastAsia="仿宋_GB2312" w:cs="仿宋_GB2312"/>
                <w:highlight w:val="none"/>
              </w:rPr>
              <w:t>计量单位</w:t>
            </w:r>
          </w:p>
        </w:tc>
        <w:tc>
          <w:tcPr>
            <w:tcW w:w="755" w:type="dxa"/>
            <w:vAlign w:val="center"/>
          </w:tcPr>
          <w:p w14:paraId="0DDCA454">
            <w:pPr>
              <w:pStyle w:val="11"/>
              <w:spacing w:line="480" w:lineRule="auto"/>
              <w:jc w:val="center"/>
              <w:rPr>
                <w:highlight w:val="none"/>
              </w:rPr>
            </w:pPr>
            <w:r>
              <w:rPr>
                <w:rFonts w:hint="eastAsia" w:ascii="仿宋_GB2312" w:hAnsi="仿宋_GB2312" w:eastAsia="仿宋_GB2312" w:cs="仿宋_GB2312"/>
                <w:highlight w:val="none"/>
                <w:lang w:eastAsia="zh-CN"/>
              </w:rPr>
              <w:t>含税总价</w:t>
            </w:r>
          </w:p>
        </w:tc>
        <w:tc>
          <w:tcPr>
            <w:tcW w:w="755" w:type="dxa"/>
            <w:vAlign w:val="center"/>
          </w:tcPr>
          <w:p w14:paraId="7C0BBBF4">
            <w:pPr>
              <w:pStyle w:val="11"/>
              <w:spacing w:line="480" w:lineRule="auto"/>
              <w:jc w:val="center"/>
              <w:rPr>
                <w:rFonts w:hint="eastAsia" w:eastAsia="仿宋_GB2312"/>
                <w:highlight w:val="none"/>
                <w:lang w:eastAsia="zh-CN"/>
              </w:rPr>
            </w:pPr>
            <w:r>
              <w:rPr>
                <w:rFonts w:hint="eastAsia" w:ascii="仿宋_GB2312" w:hAnsi="仿宋_GB2312" w:eastAsia="仿宋_GB2312" w:cs="仿宋_GB2312"/>
                <w:highlight w:val="none"/>
                <w:lang w:eastAsia="zh-CN"/>
              </w:rPr>
              <w:t>最高总价</w:t>
            </w:r>
          </w:p>
        </w:tc>
        <w:tc>
          <w:tcPr>
            <w:tcW w:w="755" w:type="dxa"/>
            <w:vAlign w:val="center"/>
          </w:tcPr>
          <w:p w14:paraId="53ABD2C2">
            <w:pPr>
              <w:pStyle w:val="11"/>
              <w:spacing w:line="480" w:lineRule="auto"/>
              <w:jc w:val="center"/>
              <w:rPr>
                <w:highlight w:val="none"/>
              </w:rPr>
            </w:pPr>
            <w:r>
              <w:rPr>
                <w:rFonts w:ascii="仿宋_GB2312" w:hAnsi="仿宋_GB2312" w:eastAsia="仿宋_GB2312" w:cs="仿宋_GB2312"/>
                <w:highlight w:val="none"/>
              </w:rPr>
              <w:t>总价</w:t>
            </w:r>
          </w:p>
        </w:tc>
      </w:tr>
      <w:tr w14:paraId="41DDD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312C3477">
            <w:pPr>
              <w:pStyle w:val="11"/>
              <w:spacing w:line="480" w:lineRule="auto"/>
              <w:jc w:val="center"/>
              <w:rPr>
                <w:highlight w:val="none"/>
              </w:rPr>
            </w:pPr>
          </w:p>
        </w:tc>
        <w:tc>
          <w:tcPr>
            <w:tcW w:w="755" w:type="dxa"/>
            <w:vAlign w:val="center"/>
          </w:tcPr>
          <w:p w14:paraId="77921B29">
            <w:pPr>
              <w:pStyle w:val="11"/>
              <w:spacing w:line="480" w:lineRule="auto"/>
              <w:jc w:val="center"/>
              <w:rPr>
                <w:highlight w:val="none"/>
              </w:rPr>
            </w:pPr>
          </w:p>
        </w:tc>
        <w:tc>
          <w:tcPr>
            <w:tcW w:w="755" w:type="dxa"/>
            <w:vAlign w:val="center"/>
          </w:tcPr>
          <w:p w14:paraId="76810C28">
            <w:pPr>
              <w:pStyle w:val="11"/>
              <w:spacing w:line="400" w:lineRule="exact"/>
              <w:ind w:firstLine="0" w:firstLineChars="0"/>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 xml:space="preserve">       </w:t>
            </w:r>
          </w:p>
          <w:p w14:paraId="33617223">
            <w:pPr>
              <w:pStyle w:val="11"/>
              <w:spacing w:line="480" w:lineRule="auto"/>
              <w:jc w:val="center"/>
              <w:rPr>
                <w:highlight w:val="none"/>
              </w:rPr>
            </w:pPr>
          </w:p>
        </w:tc>
        <w:tc>
          <w:tcPr>
            <w:tcW w:w="755" w:type="dxa"/>
            <w:vAlign w:val="center"/>
          </w:tcPr>
          <w:p w14:paraId="3BF5AEDB">
            <w:pPr>
              <w:pStyle w:val="11"/>
              <w:spacing w:line="400" w:lineRule="exact"/>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详见</w:t>
            </w:r>
            <w:r>
              <w:rPr>
                <w:rFonts w:hint="eastAsia" w:ascii="仿宋_GB2312" w:hAnsi="仿宋_GB2312" w:eastAsia="仿宋_GB2312" w:cs="仿宋_GB2312"/>
                <w:highlight w:val="none"/>
                <w:lang w:val="en-US" w:eastAsia="zh-CN"/>
              </w:rPr>
              <w:t>询比文件《</w:t>
            </w:r>
            <w:r>
              <w:rPr>
                <w:rFonts w:hint="eastAsia" w:ascii="仿宋_GB2312" w:hAnsi="仿宋_GB2312" w:eastAsia="仿宋_GB2312" w:cs="仿宋_GB2312"/>
                <w:highlight w:val="none"/>
                <w:lang w:eastAsia="zh-CN"/>
              </w:rPr>
              <w:t>采购合同</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eastAsia="zh-CN"/>
              </w:rPr>
              <w:t>第八点“乙方的权利和义务”</w:t>
            </w:r>
          </w:p>
        </w:tc>
        <w:tc>
          <w:tcPr>
            <w:tcW w:w="755" w:type="dxa"/>
            <w:vAlign w:val="center"/>
          </w:tcPr>
          <w:p w14:paraId="15D3F8BF">
            <w:pPr>
              <w:pStyle w:val="11"/>
              <w:spacing w:line="400" w:lineRule="exact"/>
              <w:ind w:firstLineChars="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自合同签订之日</w:t>
            </w:r>
            <w:r>
              <w:rPr>
                <w:rFonts w:hint="eastAsia" w:ascii="仿宋_GB2312" w:hAnsi="仿宋_GB2312" w:eastAsia="仿宋_GB2312" w:cs="仿宋_GB2312"/>
                <w:highlight w:val="none"/>
                <w:lang w:val="en-US" w:eastAsia="zh-CN"/>
              </w:rPr>
              <w:t>一周内完成检测，检测完工后5个工作日内提交检测报告</w:t>
            </w:r>
          </w:p>
          <w:p w14:paraId="0CB5B13C">
            <w:pPr>
              <w:pStyle w:val="11"/>
              <w:spacing w:line="400" w:lineRule="exact"/>
              <w:jc w:val="left"/>
              <w:rPr>
                <w:rFonts w:ascii="仿宋_GB2312" w:hAnsi="仿宋_GB2312" w:eastAsia="仿宋_GB2312" w:cs="仿宋_GB2312"/>
                <w:highlight w:val="none"/>
                <w:lang w:eastAsia="zh-CN"/>
              </w:rPr>
            </w:pPr>
          </w:p>
        </w:tc>
        <w:tc>
          <w:tcPr>
            <w:tcW w:w="755" w:type="dxa"/>
            <w:vAlign w:val="center"/>
          </w:tcPr>
          <w:p w14:paraId="1CA08DA9">
            <w:pPr>
              <w:pStyle w:val="11"/>
              <w:spacing w:line="400" w:lineRule="exact"/>
              <w:jc w:val="lef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检测标准详见询比文件第四章第二点</w:t>
            </w:r>
          </w:p>
        </w:tc>
        <w:tc>
          <w:tcPr>
            <w:tcW w:w="755" w:type="dxa"/>
            <w:vAlign w:val="center"/>
          </w:tcPr>
          <w:p w14:paraId="621D8322">
            <w:pPr>
              <w:pStyle w:val="11"/>
              <w:spacing w:line="480" w:lineRule="auto"/>
              <w:jc w:val="center"/>
              <w:rPr>
                <w:rFonts w:hint="default" w:eastAsiaTheme="minorEastAsia"/>
                <w:highlight w:val="none"/>
                <w:lang w:val="en-US" w:eastAsia="zh-CN"/>
              </w:rPr>
            </w:pPr>
            <w:r>
              <w:rPr>
                <w:rFonts w:hint="eastAsia"/>
                <w:sz w:val="15"/>
                <w:szCs w:val="15"/>
                <w:highlight w:val="none"/>
                <w:lang w:val="en-US" w:eastAsia="zh-CN"/>
              </w:rPr>
              <w:t>项</w:t>
            </w:r>
          </w:p>
        </w:tc>
        <w:tc>
          <w:tcPr>
            <w:tcW w:w="755" w:type="dxa"/>
            <w:vAlign w:val="center"/>
          </w:tcPr>
          <w:p w14:paraId="35A98B91">
            <w:pPr>
              <w:pStyle w:val="11"/>
              <w:spacing w:line="480" w:lineRule="auto"/>
              <w:jc w:val="center"/>
              <w:rPr>
                <w:highlight w:val="none"/>
              </w:rPr>
            </w:pPr>
          </w:p>
        </w:tc>
        <w:tc>
          <w:tcPr>
            <w:tcW w:w="755" w:type="dxa"/>
            <w:vAlign w:val="center"/>
          </w:tcPr>
          <w:p w14:paraId="65A61DE9">
            <w:pPr>
              <w:pStyle w:val="11"/>
              <w:spacing w:line="480" w:lineRule="auto"/>
              <w:jc w:val="center"/>
              <w:rPr>
                <w:rFonts w:hint="default" w:eastAsiaTheme="minorEastAsia"/>
                <w:highlight w:val="none"/>
                <w:lang w:val="en-US" w:eastAsia="zh-CN"/>
              </w:rPr>
            </w:pPr>
            <w:r>
              <w:rPr>
                <w:rFonts w:hint="eastAsia"/>
                <w:sz w:val="13"/>
                <w:szCs w:val="13"/>
                <w:highlight w:val="none"/>
                <w:lang w:val="en-US" w:eastAsia="zh-CN"/>
              </w:rPr>
              <w:t>50000</w:t>
            </w:r>
          </w:p>
        </w:tc>
        <w:tc>
          <w:tcPr>
            <w:tcW w:w="755" w:type="dxa"/>
            <w:vAlign w:val="center"/>
          </w:tcPr>
          <w:p w14:paraId="6598DB52">
            <w:pPr>
              <w:pStyle w:val="11"/>
              <w:spacing w:line="480" w:lineRule="auto"/>
              <w:jc w:val="center"/>
              <w:rPr>
                <w:highlight w:val="none"/>
              </w:rPr>
            </w:pPr>
          </w:p>
        </w:tc>
      </w:tr>
    </w:tbl>
    <w:p w14:paraId="4462DDC0">
      <w:pPr>
        <w:pStyle w:val="11"/>
        <w:jc w:val="left"/>
        <w:rPr>
          <w:rFonts w:ascii="仿宋_GB2312" w:hAnsi="仿宋_GB2312" w:eastAsia="仿宋_GB2312" w:cs="仿宋_GB2312"/>
          <w:color w:val="auto"/>
          <w:highlight w:val="none"/>
        </w:rPr>
      </w:pPr>
    </w:p>
    <w:p w14:paraId="6FEAF0DA">
      <w:pPr>
        <w:pStyle w:val="11"/>
        <w:spacing w:line="480" w:lineRule="auto"/>
        <w:ind w:firstLine="0"/>
        <w:jc w:val="right"/>
        <w:rPr>
          <w:highlight w:val="none"/>
        </w:rPr>
      </w:pPr>
      <w:r>
        <w:rPr>
          <w:rFonts w:ascii="仿宋_GB2312" w:hAnsi="仿宋_GB2312" w:eastAsia="仿宋_GB2312" w:cs="仿宋_GB2312"/>
          <w:highlight w:val="none"/>
        </w:rPr>
        <w:t xml:space="preserve"> 供应商：</w:t>
      </w:r>
      <w:r>
        <w:rPr>
          <w:rFonts w:ascii="仿宋_GB2312" w:hAnsi="仿宋_GB2312" w:eastAsia="仿宋_GB2312" w:cs="仿宋_GB2312"/>
          <w:highlight w:val="none"/>
          <w:u w:val="single"/>
        </w:rPr>
        <w:t>（全称并加盖单位公章）</w:t>
      </w:r>
    </w:p>
    <w:p w14:paraId="3E641227">
      <w:pPr>
        <w:pStyle w:val="11"/>
        <w:spacing w:line="480" w:lineRule="auto"/>
        <w:ind w:firstLine="480"/>
        <w:jc w:val="center"/>
        <w:rPr>
          <w:highlight w:val="none"/>
        </w:rPr>
      </w:pPr>
      <w:r>
        <w:rPr>
          <w:rFonts w:hint="default" w:ascii="仿宋_GB2312" w:hAnsi="仿宋_GB2312" w:eastAsia="仿宋_GB2312" w:cs="仿宋_GB2312"/>
          <w:highlight w:val="none"/>
          <w:lang w:val="en-US"/>
        </w:rPr>
        <w:t xml:space="preserve">                               </w:t>
      </w: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r>
        <w:rPr>
          <w:rFonts w:hint="default" w:ascii="仿宋_GB2312" w:hAnsi="仿宋_GB2312" w:eastAsia="仿宋_GB2312" w:cs="仿宋_GB2312"/>
          <w:highlight w:val="none"/>
          <w:u w:val="single"/>
          <w:lang w:val="en-US"/>
        </w:rPr>
        <w:t xml:space="preserve">      </w:t>
      </w:r>
      <w:r>
        <w:rPr>
          <w:rFonts w:ascii="仿宋_GB2312" w:hAnsi="仿宋_GB2312" w:eastAsia="仿宋_GB2312" w:cs="仿宋_GB2312"/>
          <w:highlight w:val="none"/>
          <w:u w:val="single"/>
        </w:rPr>
        <w:t xml:space="preserve">    </w:t>
      </w:r>
    </w:p>
    <w:p w14:paraId="4F5AE437">
      <w:pPr>
        <w:pStyle w:val="11"/>
        <w:ind w:firstLine="4600" w:firstLineChars="230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 xml:space="preserve">日      </w:t>
      </w:r>
    </w:p>
    <w:p w14:paraId="4D37D25A">
      <w:pPr>
        <w:pStyle w:val="11"/>
        <w:rPr>
          <w:highlight w:val="none"/>
        </w:rPr>
      </w:pPr>
    </w:p>
    <w:p w14:paraId="32D0E332">
      <w:pPr>
        <w:jc w:val="center"/>
        <w:outlineLvl w:val="9"/>
        <w:rPr>
          <w:rFonts w:ascii="仿宋_GB2312" w:hAnsi="仿宋_GB2312" w:eastAsia="仿宋_GB2312" w:cs="仿宋_GB2312"/>
          <w:b/>
          <w:sz w:val="28"/>
          <w:highlight w:val="none"/>
        </w:rPr>
      </w:pPr>
      <w:r>
        <w:rPr>
          <w:rFonts w:ascii="仿宋_GB2312" w:hAnsi="仿宋_GB2312" w:eastAsia="仿宋_GB2312" w:cs="仿宋_GB2312"/>
          <w:b/>
          <w:sz w:val="28"/>
          <w:highlight w:val="none"/>
        </w:rPr>
        <w:br w:type="page"/>
      </w:r>
    </w:p>
    <w:p w14:paraId="2A5968FA">
      <w:pPr>
        <w:pStyle w:val="11"/>
        <w:jc w:val="center"/>
        <w:outlineLvl w:val="2"/>
        <w:rPr>
          <w:rFonts w:ascii="仿宋_GB2312" w:hAnsi="仿宋_GB2312" w:eastAsia="仿宋_GB2312" w:cs="仿宋_GB2312"/>
          <w:b/>
          <w:sz w:val="28"/>
          <w:highlight w:val="none"/>
        </w:rPr>
      </w:pPr>
      <w:r>
        <w:rPr>
          <w:rFonts w:ascii="仿宋_GB2312" w:hAnsi="仿宋_GB2312" w:eastAsia="仿宋_GB2312" w:cs="仿宋_GB2312"/>
          <w:b/>
          <w:sz w:val="28"/>
          <w:highlight w:val="none"/>
        </w:rPr>
        <w:t>4、资格证明文件</w:t>
      </w:r>
    </w:p>
    <w:p w14:paraId="0F4D5135">
      <w:pPr>
        <w:pStyle w:val="11"/>
        <w:jc w:val="center"/>
        <w:outlineLvl w:val="3"/>
        <w:rPr>
          <w:highlight w:val="none"/>
        </w:rPr>
      </w:pPr>
      <w:r>
        <w:rPr>
          <w:rFonts w:ascii="仿宋_GB2312" w:hAnsi="仿宋_GB2312" w:eastAsia="仿宋_GB2312" w:cs="仿宋_GB2312"/>
          <w:b/>
          <w:sz w:val="28"/>
          <w:highlight w:val="none"/>
        </w:rPr>
        <w:t>4-1、单位负责人授权书</w:t>
      </w:r>
      <w:r>
        <w:rPr>
          <w:highlight w:val="none"/>
        </w:rPr>
        <w:br w:type="textWrapping"/>
      </w:r>
    </w:p>
    <w:p w14:paraId="7542CE44">
      <w:pPr>
        <w:pStyle w:val="11"/>
        <w:spacing w:line="400" w:lineRule="exact"/>
        <w:ind w:firstLine="480"/>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（采购人或采购代理机构）</w:t>
      </w:r>
    </w:p>
    <w:p w14:paraId="5DEF5643">
      <w:pPr>
        <w:pStyle w:val="11"/>
        <w:spacing w:line="400" w:lineRule="exact"/>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（填写“供应商代表全名”）</w:t>
      </w:r>
      <w:r>
        <w:rPr>
          <w:rFonts w:ascii="仿宋_GB2312" w:hAnsi="仿宋_GB2312" w:eastAsia="仿宋_GB2312" w:cs="仿宋_GB2312"/>
          <w:highlight w:val="none"/>
        </w:rPr>
        <w:t>为供应商代表，代表我方参加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，全权代表我方处理</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过程的一切事宜，包括但不限于：报价、参与报价会、谈判、签约等。供应商代表在</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过程中所签署的一切文件和处理与之有关的一切事务，我方均予以认可并对此承担责任。</w:t>
      </w:r>
    </w:p>
    <w:p w14:paraId="0A49322E">
      <w:pPr>
        <w:pStyle w:val="11"/>
        <w:spacing w:line="400" w:lineRule="exact"/>
        <w:ind w:firstLine="480"/>
        <w:jc w:val="left"/>
        <w:rPr>
          <w:highlight w:val="none"/>
        </w:rPr>
      </w:pPr>
      <w:r>
        <w:rPr>
          <w:rFonts w:ascii="仿宋_GB2312" w:hAnsi="仿宋_GB2312" w:eastAsia="仿宋_GB2312" w:cs="仿宋_GB2312"/>
          <w:highlight w:val="none"/>
        </w:rPr>
        <w:t>供应商代表无转委权。特此授权。</w:t>
      </w:r>
    </w:p>
    <w:p w14:paraId="538C07D1">
      <w:pPr>
        <w:pStyle w:val="11"/>
        <w:spacing w:line="400" w:lineRule="exact"/>
        <w:ind w:firstLine="480"/>
        <w:jc w:val="center"/>
        <w:rPr>
          <w:highlight w:val="none"/>
        </w:rPr>
      </w:pPr>
      <w:r>
        <w:rPr>
          <w:rFonts w:ascii="仿宋_GB2312" w:hAnsi="仿宋_GB2312" w:eastAsia="仿宋_GB2312" w:cs="仿宋_GB2312"/>
          <w:highlight w:val="none"/>
        </w:rPr>
        <w:t>（以下无正文）</w:t>
      </w:r>
    </w:p>
    <w:p w14:paraId="7076C135">
      <w:pPr>
        <w:pStyle w:val="11"/>
        <w:spacing w:line="400" w:lineRule="exact"/>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xml:space="preserve">          </w:t>
      </w:r>
    </w:p>
    <w:p w14:paraId="2204453E">
      <w:pPr>
        <w:pStyle w:val="11"/>
        <w:spacing w:line="400" w:lineRule="exact"/>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xml:space="preserve">          </w:t>
      </w:r>
      <w:r>
        <w:rPr>
          <w:highlight w:val="none"/>
        </w:rPr>
        <w:br w:type="textWrapping"/>
      </w:r>
      <w:r>
        <w:rPr>
          <w:highlight w:val="none"/>
        </w:rPr>
        <w:br w:type="textWrapping"/>
      </w:r>
    </w:p>
    <w:p w14:paraId="5812D1AA">
      <w:pPr>
        <w:pStyle w:val="11"/>
        <w:spacing w:line="400" w:lineRule="exact"/>
        <w:ind w:firstLine="480"/>
        <w:jc w:val="left"/>
        <w:rPr>
          <w:highlight w:val="none"/>
        </w:rPr>
      </w:pPr>
      <w:r>
        <w:rPr>
          <w:rFonts w:ascii="仿宋_GB2312" w:hAnsi="仿宋_GB2312" w:eastAsia="仿宋_GB2312" w:cs="仿宋_GB2312"/>
          <w:highlight w:val="none"/>
        </w:rPr>
        <w:t>授权方</w:t>
      </w:r>
    </w:p>
    <w:p w14:paraId="617EBAE2">
      <w:pPr>
        <w:pStyle w:val="11"/>
        <w:spacing w:line="400" w:lineRule="exact"/>
        <w:ind w:firstLine="480"/>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0B303E8C">
      <w:pPr>
        <w:pStyle w:val="11"/>
        <w:spacing w:line="400" w:lineRule="exact"/>
        <w:ind w:firstLine="480"/>
        <w:jc w:val="left"/>
        <w:rPr>
          <w:highlight w:val="none"/>
        </w:rPr>
      </w:pPr>
      <w:r>
        <w:rPr>
          <w:rFonts w:ascii="仿宋_GB2312" w:hAnsi="仿宋_GB2312" w:eastAsia="仿宋_GB2312" w:cs="仿宋_GB2312"/>
          <w:highlight w:val="none"/>
        </w:rPr>
        <w:t>单位负责人签字或盖章：</w:t>
      </w:r>
      <w:r>
        <w:rPr>
          <w:rFonts w:ascii="仿宋_GB2312" w:hAnsi="仿宋_GB2312" w:eastAsia="仿宋_GB2312" w:cs="仿宋_GB2312"/>
          <w:highlight w:val="none"/>
          <w:u w:val="single"/>
        </w:rPr>
        <w:t xml:space="preserve">            </w:t>
      </w:r>
      <w:r>
        <w:rPr>
          <w:highlight w:val="none"/>
        </w:rPr>
        <w:br w:type="textWrapping"/>
      </w:r>
      <w:r>
        <w:rPr>
          <w:highlight w:val="none"/>
        </w:rPr>
        <w:br w:type="textWrapping"/>
      </w:r>
    </w:p>
    <w:p w14:paraId="61B36A82">
      <w:pPr>
        <w:pStyle w:val="11"/>
        <w:spacing w:line="400" w:lineRule="exact"/>
        <w:ind w:firstLine="480"/>
        <w:jc w:val="left"/>
        <w:rPr>
          <w:highlight w:val="none"/>
        </w:rPr>
      </w:pPr>
      <w:r>
        <w:rPr>
          <w:rFonts w:ascii="仿宋_GB2312" w:hAnsi="仿宋_GB2312" w:eastAsia="仿宋_GB2312" w:cs="仿宋_GB2312"/>
          <w:highlight w:val="none"/>
        </w:rPr>
        <w:t>接受授权方</w:t>
      </w:r>
    </w:p>
    <w:p w14:paraId="5769B3A5">
      <w:pPr>
        <w:pStyle w:val="11"/>
        <w:spacing w:line="400" w:lineRule="exact"/>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7749A7B0">
      <w:pPr>
        <w:pStyle w:val="11"/>
        <w:spacing w:line="400" w:lineRule="exact"/>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p>
    <w:p w14:paraId="4D6148A4">
      <w:pPr>
        <w:pStyle w:val="11"/>
        <w:spacing w:line="400" w:lineRule="exact"/>
        <w:ind w:firstLine="480"/>
        <w:jc w:val="left"/>
        <w:rPr>
          <w:highlight w:val="none"/>
        </w:rPr>
      </w:pPr>
      <w:r>
        <w:rPr>
          <w:rFonts w:ascii="仿宋_GB2312" w:hAnsi="仿宋_GB2312" w:eastAsia="仿宋_GB2312" w:cs="仿宋_GB2312"/>
          <w:highlight w:val="none"/>
        </w:rPr>
        <w:t>附：单位负责人、供应商代表的身份证正反面复印件</w:t>
      </w:r>
    </w:p>
    <w:tbl>
      <w:tblPr>
        <w:tblStyle w:val="9"/>
        <w:tblW w:w="41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2"/>
      </w:tblGrid>
      <w:tr w14:paraId="74A82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2" w:type="dxa"/>
          </w:tcPr>
          <w:p w14:paraId="003A30C3">
            <w:pPr>
              <w:pStyle w:val="11"/>
              <w:spacing w:line="400" w:lineRule="exact"/>
              <w:jc w:val="center"/>
              <w:rPr>
                <w:highlight w:val="none"/>
              </w:rPr>
            </w:pPr>
            <w:r>
              <w:rPr>
                <w:rFonts w:ascii="仿宋_GB2312" w:hAnsi="仿宋_GB2312" w:eastAsia="仿宋_GB2312" w:cs="仿宋_GB2312"/>
                <w:b/>
                <w:highlight w:val="none"/>
              </w:rPr>
              <w:t>要求：真实、有效、清晰</w:t>
            </w:r>
          </w:p>
        </w:tc>
      </w:tr>
    </w:tbl>
    <w:p w14:paraId="07F3AE0E">
      <w:pPr>
        <w:pStyle w:val="11"/>
        <w:spacing w:line="400" w:lineRule="exact"/>
        <w:ind w:firstLine="480"/>
        <w:jc w:val="left"/>
        <w:rPr>
          <w:highlight w:val="none"/>
        </w:rPr>
      </w:pPr>
      <w:r>
        <w:rPr>
          <w:rFonts w:ascii="仿宋_GB2312" w:hAnsi="仿宋_GB2312" w:eastAsia="仿宋_GB2312" w:cs="仿宋_GB2312"/>
          <w:highlight w:val="none"/>
        </w:rPr>
        <w:t>※注意：</w:t>
      </w:r>
    </w:p>
    <w:p w14:paraId="63ED7FB6">
      <w:pPr>
        <w:pStyle w:val="11"/>
        <w:spacing w:line="400" w:lineRule="exact"/>
        <w:ind w:firstLine="480"/>
        <w:jc w:val="left"/>
        <w:rPr>
          <w:highlight w:val="none"/>
        </w:rPr>
      </w:pPr>
      <w:r>
        <w:rPr>
          <w:rFonts w:ascii="仿宋_GB2312" w:hAnsi="仿宋_GB2312" w:eastAsia="仿宋_GB2312" w:cs="仿宋_GB2312"/>
          <w:highlight w:val="none"/>
        </w:rPr>
        <w:t>1、企业（银行、保险、石油石化、电力、电信等行业除外）、机关、事业单位和社会团体法人的“单位负责人”指</w:t>
      </w:r>
      <w:r>
        <w:rPr>
          <w:rFonts w:ascii="仿宋_GB2312" w:hAnsi="仿宋_GB2312" w:eastAsia="仿宋_GB2312" w:cs="仿宋_GB2312"/>
          <w:b/>
          <w:highlight w:val="none"/>
        </w:rPr>
        <w:t>法定代表人，即与实际提交的“营业执照等证明文件”载明的一致。</w:t>
      </w:r>
    </w:p>
    <w:p w14:paraId="4C38B29A">
      <w:pPr>
        <w:pStyle w:val="11"/>
        <w:spacing w:line="400" w:lineRule="exact"/>
        <w:ind w:firstLine="480"/>
        <w:rPr>
          <w:highlight w:val="none"/>
        </w:rPr>
      </w:pPr>
      <w:r>
        <w:rPr>
          <w:rFonts w:ascii="仿宋_GB2312" w:hAnsi="仿宋_GB2312" w:eastAsia="仿宋_GB2312" w:cs="仿宋_GB2312"/>
          <w:highlight w:val="none"/>
        </w:rPr>
        <w:t>2、银行、保险、石油石化、电力、电信等行业：以法人身份参加报价的，“单位负责人”指</w:t>
      </w:r>
      <w:r>
        <w:rPr>
          <w:rFonts w:ascii="仿宋_GB2312" w:hAnsi="仿宋_GB2312" w:eastAsia="仿宋_GB2312" w:cs="仿宋_GB2312"/>
          <w:b/>
          <w:highlight w:val="none"/>
        </w:rPr>
        <w:t>法定代表人</w:t>
      </w:r>
      <w:r>
        <w:rPr>
          <w:rFonts w:ascii="仿宋_GB2312" w:hAnsi="仿宋_GB2312" w:eastAsia="仿宋_GB2312" w:cs="仿宋_GB2312"/>
          <w:highlight w:val="none"/>
        </w:rPr>
        <w:t>，即</w:t>
      </w:r>
      <w:r>
        <w:rPr>
          <w:rFonts w:ascii="仿宋_GB2312" w:hAnsi="仿宋_GB2312" w:eastAsia="仿宋_GB2312" w:cs="仿宋_GB2312"/>
          <w:b/>
          <w:highlight w:val="none"/>
        </w:rPr>
        <w:t>与实际提交的“营业执照等证明文件”载明的一致</w:t>
      </w:r>
      <w:r>
        <w:rPr>
          <w:rFonts w:ascii="仿宋_GB2312" w:hAnsi="仿宋_GB2312" w:eastAsia="仿宋_GB2312" w:cs="仿宋_GB2312"/>
          <w:highlight w:val="none"/>
        </w:rPr>
        <w:t>；以非法人身份参加报价的，“单位负责人”指</w:t>
      </w:r>
      <w:r>
        <w:rPr>
          <w:rFonts w:ascii="仿宋_GB2312" w:hAnsi="仿宋_GB2312" w:eastAsia="仿宋_GB2312" w:cs="仿宋_GB2312"/>
          <w:b/>
          <w:highlight w:val="none"/>
        </w:rPr>
        <w:t>代表单位行使职权的主要负责人，即与实际提交的“营业执照等证明文件”载明的一致</w:t>
      </w:r>
      <w:r>
        <w:rPr>
          <w:rFonts w:ascii="仿宋_GB2312" w:hAnsi="仿宋_GB2312" w:eastAsia="仿宋_GB2312" w:cs="仿宋_GB2312"/>
          <w:highlight w:val="none"/>
        </w:rPr>
        <w:t>。</w:t>
      </w:r>
      <w:r>
        <w:rPr>
          <w:highlight w:val="none"/>
        </w:rPr>
        <w:br w:type="textWrapping"/>
      </w:r>
    </w:p>
    <w:p w14:paraId="3191E100">
      <w:pPr>
        <w:pStyle w:val="11"/>
        <w:jc w:val="center"/>
        <w:outlineLvl w:val="3"/>
        <w:rPr>
          <w:rFonts w:ascii="仿宋_GB2312" w:hAnsi="仿宋_GB2312" w:eastAsia="仿宋_GB2312" w:cs="仿宋_GB2312"/>
          <w:b/>
          <w:sz w:val="28"/>
          <w:highlight w:val="none"/>
        </w:rPr>
      </w:pPr>
      <w:r>
        <w:rPr>
          <w:rFonts w:ascii="仿宋_GB2312" w:hAnsi="仿宋_GB2312" w:eastAsia="仿宋_GB2312" w:cs="仿宋_GB2312"/>
          <w:b/>
          <w:sz w:val="28"/>
          <w:highlight w:val="none"/>
        </w:rPr>
        <w:t>4-2</w:t>
      </w:r>
      <w:r>
        <w:rPr>
          <w:rFonts w:hint="eastAsia" w:ascii="仿宋_GB2312" w:hAnsi="仿宋_GB2312" w:eastAsia="仿宋_GB2312" w:cs="仿宋_GB2312"/>
          <w:b/>
          <w:sz w:val="28"/>
          <w:highlight w:val="none"/>
          <w:lang w:eastAsia="zh-CN"/>
        </w:rPr>
        <w:t>、</w:t>
      </w:r>
      <w:r>
        <w:rPr>
          <w:rFonts w:ascii="仿宋_GB2312" w:hAnsi="仿宋_GB2312" w:eastAsia="仿宋_GB2312" w:cs="仿宋_GB2312"/>
          <w:b/>
          <w:sz w:val="28"/>
          <w:highlight w:val="none"/>
        </w:rPr>
        <w:t>证明材料</w:t>
      </w:r>
    </w:p>
    <w:p w14:paraId="5E8B911C">
      <w:pPr>
        <w:pStyle w:val="11"/>
        <w:ind w:firstLine="480"/>
        <w:jc w:val="left"/>
        <w:rPr>
          <w:highlight w:val="none"/>
        </w:rPr>
      </w:pPr>
      <w:r>
        <w:rPr>
          <w:rFonts w:ascii="仿宋_GB2312" w:hAnsi="仿宋_GB2312" w:eastAsia="仿宋_GB2312" w:cs="仿宋_GB2312"/>
          <w:highlight w:val="none"/>
        </w:rPr>
        <w:t>注：根据</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须知前附表第1项号的“（2）特定资格条件”要求，允许供应商采用资格承诺制的，可提供符合要求的4-2-1资格承诺函，视为满足响应文件的资格要求，供应商根据响应文件格式4-2-1、4-2-2提供其中一种证明材料，若重复提供导致的不利后果，由供应商自行负责。</w:t>
      </w:r>
    </w:p>
    <w:p w14:paraId="4B72A7F9">
      <w:pPr>
        <w:pStyle w:val="11"/>
        <w:spacing w:line="400" w:lineRule="exact"/>
        <w:jc w:val="center"/>
        <w:outlineLvl w:val="4"/>
        <w:rPr>
          <w:highlight w:val="none"/>
        </w:rPr>
      </w:pPr>
      <w:r>
        <w:rPr>
          <w:rFonts w:ascii="仿宋_GB2312" w:hAnsi="仿宋_GB2312" w:eastAsia="仿宋_GB2312" w:cs="仿宋_GB2312"/>
          <w:b/>
          <w:sz w:val="28"/>
          <w:highlight w:val="none"/>
        </w:rPr>
        <w:t>附件4-2-1</w:t>
      </w:r>
      <w:r>
        <w:rPr>
          <w:rFonts w:hint="eastAsia" w:ascii="仿宋_GB2312" w:hAnsi="仿宋_GB2312" w:eastAsia="仿宋_GB2312" w:cs="仿宋_GB2312"/>
          <w:b/>
          <w:sz w:val="28"/>
          <w:highlight w:val="none"/>
          <w:lang w:eastAsia="zh-CN"/>
        </w:rPr>
        <w:t>、</w:t>
      </w:r>
      <w:r>
        <w:rPr>
          <w:rFonts w:ascii="仿宋_GB2312" w:hAnsi="仿宋_GB2312" w:eastAsia="仿宋_GB2312" w:cs="仿宋_GB2312"/>
          <w:b/>
          <w:sz w:val="28"/>
          <w:highlight w:val="none"/>
        </w:rPr>
        <w:t>供应商资格承诺函</w:t>
      </w:r>
    </w:p>
    <w:p w14:paraId="7454F13A">
      <w:pPr>
        <w:pStyle w:val="11"/>
        <w:spacing w:line="400" w:lineRule="exact"/>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3423022">
      <w:pPr>
        <w:pStyle w:val="11"/>
        <w:spacing w:line="400" w:lineRule="exact"/>
        <w:ind w:firstLine="960"/>
        <w:jc w:val="left"/>
        <w:rPr>
          <w:highlight w:val="none"/>
        </w:rPr>
      </w:pPr>
      <w:r>
        <w:rPr>
          <w:rFonts w:ascii="仿宋_GB2312" w:hAnsi="仿宋_GB2312" w:eastAsia="仿宋_GB2312" w:cs="仿宋_GB2312"/>
          <w:highlight w:val="none"/>
        </w:rPr>
        <w:t>单位名称(自然人姓名):</w:t>
      </w:r>
    </w:p>
    <w:p w14:paraId="2E8653DF">
      <w:pPr>
        <w:pStyle w:val="11"/>
        <w:spacing w:line="400" w:lineRule="exact"/>
        <w:ind w:firstLine="960"/>
        <w:jc w:val="left"/>
        <w:rPr>
          <w:highlight w:val="none"/>
        </w:rPr>
      </w:pPr>
      <w:r>
        <w:rPr>
          <w:rFonts w:ascii="仿宋_GB2312" w:hAnsi="仿宋_GB2312" w:eastAsia="仿宋_GB2312" w:cs="仿宋_GB2312"/>
          <w:highlight w:val="none"/>
        </w:rPr>
        <w:t>统一社会信用代码(自然人身份证号码):</w:t>
      </w:r>
    </w:p>
    <w:p w14:paraId="30C7A190">
      <w:pPr>
        <w:pStyle w:val="11"/>
        <w:spacing w:line="400" w:lineRule="exact"/>
        <w:ind w:firstLine="960"/>
        <w:jc w:val="left"/>
        <w:rPr>
          <w:highlight w:val="none"/>
        </w:rPr>
      </w:pPr>
      <w:r>
        <w:rPr>
          <w:rFonts w:ascii="仿宋_GB2312" w:hAnsi="仿宋_GB2312" w:eastAsia="仿宋_GB2312" w:cs="仿宋_GB2312"/>
          <w:highlight w:val="none"/>
        </w:rPr>
        <w:t>法定代表人(负责人):</w:t>
      </w:r>
    </w:p>
    <w:p w14:paraId="04496D51">
      <w:pPr>
        <w:pStyle w:val="11"/>
        <w:spacing w:line="400" w:lineRule="exact"/>
        <w:ind w:firstLine="960"/>
        <w:jc w:val="left"/>
        <w:rPr>
          <w:highlight w:val="none"/>
        </w:rPr>
      </w:pPr>
      <w:r>
        <w:rPr>
          <w:rFonts w:ascii="仿宋_GB2312" w:hAnsi="仿宋_GB2312" w:eastAsia="仿宋_GB2312" w:cs="仿宋_GB2312"/>
          <w:highlight w:val="none"/>
        </w:rPr>
        <w:t>联系地址和电话:</w:t>
      </w:r>
    </w:p>
    <w:p w14:paraId="767BB88C">
      <w:pPr>
        <w:pStyle w:val="11"/>
        <w:spacing w:line="400" w:lineRule="exact"/>
        <w:ind w:firstLine="480"/>
        <w:jc w:val="left"/>
        <w:rPr>
          <w:highlight w:val="none"/>
        </w:rPr>
      </w:pPr>
      <w:r>
        <w:rPr>
          <w:rFonts w:ascii="仿宋_GB2312" w:hAnsi="仿宋_GB2312" w:eastAsia="仿宋_GB2312" w:cs="仿宋_GB2312"/>
          <w:highlight w:val="none"/>
        </w:rPr>
        <w:t>我单位(本人)自愿参加本次</w:t>
      </w:r>
      <w:r>
        <w:rPr>
          <w:rFonts w:hint="eastAsia" w:ascii="仿宋_GB2312" w:hAnsi="仿宋_GB2312" w:eastAsia="仿宋_GB2312" w:cs="仿宋_GB2312"/>
          <w:highlight w:val="none"/>
          <w:lang w:eastAsia="zh-CN"/>
        </w:rPr>
        <w:t>国有企业采购</w:t>
      </w:r>
      <w:r>
        <w:rPr>
          <w:rFonts w:ascii="仿宋_GB2312" w:hAnsi="仿宋_GB2312" w:eastAsia="仿宋_GB2312" w:cs="仿宋_GB2312"/>
          <w:highlight w:val="none"/>
        </w:rPr>
        <w:t>活动，严格遵守相关法律法规，坚守公开、公平公正和诚实信用等原则，依法诚信经营，并郑重承诺:</w:t>
      </w:r>
    </w:p>
    <w:p w14:paraId="52F18315">
      <w:pPr>
        <w:pStyle w:val="11"/>
        <w:spacing w:line="400" w:lineRule="exact"/>
        <w:ind w:firstLine="480"/>
        <w:jc w:val="left"/>
        <w:rPr>
          <w:highlight w:val="none"/>
        </w:rPr>
      </w:pPr>
      <w:r>
        <w:rPr>
          <w:rFonts w:ascii="仿宋_GB2312" w:hAnsi="仿宋_GB2312" w:eastAsia="仿宋_GB2312" w:cs="仿宋_GB2312"/>
          <w:highlight w:val="none"/>
        </w:rPr>
        <w:t>一、我单位(本人)具备采购文件要求:</w:t>
      </w:r>
    </w:p>
    <w:p w14:paraId="4D668890">
      <w:pPr>
        <w:pStyle w:val="11"/>
        <w:spacing w:line="400" w:lineRule="exact"/>
        <w:ind w:firstLine="960"/>
        <w:jc w:val="left"/>
        <w:rPr>
          <w:highlight w:val="none"/>
        </w:rPr>
      </w:pPr>
      <w:r>
        <w:rPr>
          <w:rFonts w:ascii="仿宋_GB2312" w:hAnsi="仿宋_GB2312" w:eastAsia="仿宋_GB2312" w:cs="仿宋_GB2312"/>
          <w:highlight w:val="none"/>
        </w:rPr>
        <w:t>1.具有独立承担民事责任的能力;</w:t>
      </w:r>
    </w:p>
    <w:p w14:paraId="570AD3CB">
      <w:pPr>
        <w:pStyle w:val="11"/>
        <w:spacing w:line="400" w:lineRule="exact"/>
        <w:ind w:firstLine="960"/>
        <w:jc w:val="left"/>
        <w:rPr>
          <w:highlight w:val="none"/>
        </w:rPr>
      </w:pPr>
      <w:r>
        <w:rPr>
          <w:rFonts w:ascii="仿宋_GB2312" w:hAnsi="仿宋_GB2312" w:eastAsia="仿宋_GB2312" w:cs="仿宋_GB2312"/>
          <w:highlight w:val="none"/>
        </w:rPr>
        <w:t>2.具有良好的商业信誉和健全的财务会计制度;</w:t>
      </w:r>
    </w:p>
    <w:p w14:paraId="1A4843DF">
      <w:pPr>
        <w:pStyle w:val="11"/>
        <w:spacing w:line="400" w:lineRule="exact"/>
        <w:ind w:firstLine="960"/>
        <w:jc w:val="left"/>
        <w:rPr>
          <w:highlight w:val="none"/>
        </w:rPr>
      </w:pPr>
      <w:r>
        <w:rPr>
          <w:rFonts w:ascii="仿宋_GB2312" w:hAnsi="仿宋_GB2312" w:eastAsia="仿宋_GB2312" w:cs="仿宋_GB2312"/>
          <w:highlight w:val="none"/>
        </w:rPr>
        <w:t>3.具有履行合同所必需的设备和专业技术能力;</w:t>
      </w:r>
    </w:p>
    <w:p w14:paraId="52E1AEF4">
      <w:pPr>
        <w:pStyle w:val="11"/>
        <w:spacing w:line="400" w:lineRule="exact"/>
        <w:ind w:firstLine="960"/>
        <w:jc w:val="left"/>
        <w:rPr>
          <w:highlight w:val="none"/>
        </w:rPr>
      </w:pPr>
      <w:r>
        <w:rPr>
          <w:rFonts w:ascii="仿宋_GB2312" w:hAnsi="仿宋_GB2312" w:eastAsia="仿宋_GB2312" w:cs="仿宋_GB2312"/>
          <w:highlight w:val="none"/>
        </w:rPr>
        <w:t>4.有依法缴纳税收和社会保障资金的良好记录;</w:t>
      </w:r>
    </w:p>
    <w:p w14:paraId="6F25A667">
      <w:pPr>
        <w:pStyle w:val="11"/>
        <w:spacing w:line="400" w:lineRule="exact"/>
        <w:ind w:firstLine="960"/>
        <w:jc w:val="left"/>
        <w:rPr>
          <w:highlight w:val="none"/>
        </w:rPr>
      </w:pPr>
      <w:r>
        <w:rPr>
          <w:rFonts w:ascii="仿宋_GB2312" w:hAnsi="仿宋_GB2312" w:eastAsia="仿宋_GB2312" w:cs="仿宋_GB2312"/>
          <w:highlight w:val="none"/>
        </w:rPr>
        <w:t>5.参加采购活动前三年内，在经营活动中没有重大违法记录；</w:t>
      </w:r>
    </w:p>
    <w:p w14:paraId="3D026FAB">
      <w:pPr>
        <w:pStyle w:val="11"/>
        <w:spacing w:line="400" w:lineRule="exact"/>
        <w:ind w:firstLine="960"/>
        <w:jc w:val="left"/>
        <w:rPr>
          <w:highlight w:val="none"/>
        </w:rPr>
      </w:pPr>
      <w:r>
        <w:rPr>
          <w:rFonts w:ascii="仿宋_GB2312" w:hAnsi="仿宋_GB2312" w:eastAsia="仿宋_GB2312" w:cs="仿宋_GB2312"/>
          <w:highlight w:val="none"/>
        </w:rPr>
        <w:t>6.法律、行政法规规定的其他条件。</w:t>
      </w:r>
    </w:p>
    <w:p w14:paraId="3984D7B9">
      <w:pPr>
        <w:pStyle w:val="11"/>
        <w:spacing w:line="400" w:lineRule="exact"/>
        <w:ind w:firstLine="480"/>
        <w:jc w:val="left"/>
        <w:rPr>
          <w:rFonts w:ascii="仿宋_GB2312" w:hAnsi="仿宋_GB2312" w:eastAsia="仿宋_GB2312" w:cs="仿宋_GB2312"/>
          <w:highlight w:val="none"/>
        </w:rPr>
      </w:pPr>
      <w:r>
        <w:rPr>
          <w:rFonts w:ascii="仿宋_GB2312" w:hAnsi="仿宋_GB2312" w:eastAsia="仿宋_GB2312" w:cs="仿宋_GB2312"/>
          <w:highlight w:val="none"/>
        </w:rPr>
        <w:t>二、</w:t>
      </w:r>
      <w:bookmarkStart w:id="24" w:name="OLE_LINK16"/>
      <w:r>
        <w:rPr>
          <w:rFonts w:ascii="仿宋_GB2312" w:hAnsi="仿宋_GB2312" w:eastAsia="仿宋_GB2312" w:cs="仿宋_GB2312"/>
          <w:highlight w:val="none"/>
        </w:rPr>
        <w:t>不存在违反“单位负责人为同一人或者存在直接控股、管理关系的不同供应商，不得参加同一合同项下采购活动</w:t>
      </w:r>
      <w:r>
        <w:rPr>
          <w:rFonts w:hint="eastAsia" w:ascii="仿宋_GB2312" w:hAnsi="仿宋_GB2312" w:eastAsia="仿宋_GB2312" w:cs="仿宋_GB2312"/>
          <w:highlight w:val="none"/>
          <w:lang w:eastAsia="zh-CN"/>
        </w:rPr>
        <w:t>”的</w:t>
      </w:r>
      <w:r>
        <w:rPr>
          <w:rFonts w:hint="eastAsia" w:ascii="仿宋_GB2312" w:hAnsi="仿宋_GB2312" w:eastAsia="仿宋_GB2312" w:cs="仿宋_GB2312"/>
          <w:highlight w:val="none"/>
          <w:lang w:val="en-US" w:eastAsia="zh-CN"/>
        </w:rPr>
        <w:t>规定</w:t>
      </w:r>
      <w:r>
        <w:rPr>
          <w:rFonts w:ascii="仿宋_GB2312" w:hAnsi="仿宋_GB2312" w:eastAsia="仿宋_GB2312" w:cs="仿宋_GB2312"/>
          <w:highlight w:val="none"/>
        </w:rPr>
        <w:t>。</w:t>
      </w:r>
      <w:bookmarkEnd w:id="24"/>
    </w:p>
    <w:p w14:paraId="2A87B44A">
      <w:pPr>
        <w:pStyle w:val="11"/>
        <w:spacing w:line="400" w:lineRule="exact"/>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提供虚假材料谋取中标成交”违法情形。经调查属实的，愿意接受“处以采购金额千分之五以上千分之十以下的罚款，列入不良行为记录名单，在一至三年内禁止参加</w:t>
      </w:r>
      <w:r>
        <w:rPr>
          <w:rFonts w:hint="eastAsia" w:ascii="仿宋_GB2312" w:hAnsi="仿宋_GB2312" w:eastAsia="仿宋_GB2312" w:cs="仿宋_GB2312"/>
          <w:highlight w:val="none"/>
          <w:lang w:eastAsia="zh-CN"/>
        </w:rPr>
        <w:t>国有企业</w:t>
      </w:r>
      <w:r>
        <w:rPr>
          <w:rFonts w:ascii="仿宋_GB2312" w:hAnsi="仿宋_GB2312" w:eastAsia="仿宋_GB2312" w:cs="仿宋_GB2312"/>
          <w:highlight w:val="none"/>
        </w:rPr>
        <w:t>采购活动，有违法所得的，并处没收违法所得，情节严重的，由市场监管部门吊销营业执照，构成犯罪的，依法追究刑事责任”和法律法规有关规定处理。</w:t>
      </w:r>
    </w:p>
    <w:p w14:paraId="72AA96C3">
      <w:pPr>
        <w:pStyle w:val="11"/>
        <w:spacing w:line="400" w:lineRule="exact"/>
        <w:ind w:firstLine="480"/>
        <w:jc w:val="left"/>
        <w:rPr>
          <w:highlight w:val="none"/>
        </w:rPr>
      </w:pPr>
    </w:p>
    <w:p w14:paraId="508D44DC">
      <w:pPr>
        <w:pStyle w:val="11"/>
        <w:spacing w:line="400" w:lineRule="exact"/>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63166359">
      <w:pPr>
        <w:pStyle w:val="11"/>
        <w:spacing w:line="400" w:lineRule="exact"/>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02502F6">
      <w:pPr>
        <w:pStyle w:val="11"/>
        <w:spacing w:line="400" w:lineRule="exact"/>
        <w:ind w:firstLine="480"/>
        <w:jc w:val="left"/>
        <w:rPr>
          <w:highlight w:val="none"/>
        </w:rPr>
      </w:pPr>
      <w:r>
        <w:rPr>
          <w:rFonts w:ascii="仿宋_GB2312" w:hAnsi="仿宋_GB2312" w:eastAsia="仿宋_GB2312" w:cs="仿宋_GB2312"/>
          <w:highlight w:val="none"/>
        </w:rPr>
        <w:t>注：</w:t>
      </w:r>
    </w:p>
    <w:p w14:paraId="1A657856">
      <w:pPr>
        <w:pStyle w:val="11"/>
        <w:spacing w:line="400" w:lineRule="exact"/>
        <w:ind w:firstLine="960"/>
        <w:jc w:val="left"/>
        <w:rPr>
          <w:highlight w:val="none"/>
        </w:rPr>
      </w:pPr>
      <w:r>
        <w:rPr>
          <w:rFonts w:ascii="仿宋_GB2312" w:hAnsi="仿宋_GB2312" w:eastAsia="仿宋_GB2312" w:cs="仿宋_GB2312"/>
          <w:highlight w:val="none"/>
        </w:rPr>
        <w:t>1.我单位(本人)专指参加采购活动的供应商(含自然人)；</w:t>
      </w:r>
    </w:p>
    <w:p w14:paraId="10741C6F">
      <w:pPr>
        <w:pStyle w:val="11"/>
        <w:spacing w:line="400" w:lineRule="exact"/>
        <w:ind w:firstLine="960"/>
        <w:jc w:val="left"/>
        <w:rPr>
          <w:rFonts w:ascii="仿宋_GB2312" w:hAnsi="仿宋_GB2312" w:eastAsia="仿宋_GB2312" w:cs="仿宋_GB2312"/>
          <w:highlight w:val="none"/>
        </w:rPr>
      </w:pPr>
      <w:r>
        <w:rPr>
          <w:rFonts w:ascii="仿宋_GB2312" w:hAnsi="仿宋_GB2312" w:eastAsia="仿宋_GB2312" w:cs="仿宋_GB2312"/>
          <w:highlight w:val="none"/>
        </w:rPr>
        <w:t>2.资格承诺的供应商应在响应文件中按此模板提供承诺函，否则，视为未按照</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文件规定提交</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的资格及资信文件，按资格审查不通过处理。</w:t>
      </w:r>
    </w:p>
    <w:p w14:paraId="4140D2DD">
      <w:pPr>
        <w:pStyle w:val="11"/>
        <w:ind w:firstLine="0"/>
        <w:jc w:val="left"/>
        <w:rPr>
          <w:rFonts w:ascii="仿宋_GB2312" w:hAnsi="仿宋_GB2312" w:eastAsia="仿宋_GB2312" w:cs="仿宋_GB2312"/>
          <w:highlight w:val="none"/>
        </w:rPr>
      </w:pPr>
    </w:p>
    <w:p w14:paraId="5F2D1875">
      <w:pPr>
        <w:pStyle w:val="11"/>
        <w:ind w:firstLine="960"/>
        <w:jc w:val="left"/>
        <w:rPr>
          <w:rFonts w:ascii="仿宋_GB2312" w:hAnsi="仿宋_GB2312" w:eastAsia="仿宋_GB2312" w:cs="仿宋_GB2312"/>
          <w:highlight w:val="none"/>
        </w:rPr>
      </w:pPr>
    </w:p>
    <w:p w14:paraId="551B5C34">
      <w:pPr>
        <w:pStyle w:val="11"/>
        <w:jc w:val="center"/>
        <w:outlineLvl w:val="4"/>
        <w:rPr>
          <w:highlight w:val="none"/>
        </w:rPr>
      </w:pPr>
      <w:r>
        <w:rPr>
          <w:rFonts w:ascii="仿宋_GB2312" w:hAnsi="仿宋_GB2312" w:eastAsia="仿宋_GB2312" w:cs="仿宋_GB2312"/>
          <w:b/>
          <w:sz w:val="28"/>
          <w:highlight w:val="none"/>
        </w:rPr>
        <w:t>附件4-2-2</w:t>
      </w:r>
      <w:r>
        <w:rPr>
          <w:rFonts w:hint="eastAsia" w:ascii="仿宋_GB2312" w:hAnsi="仿宋_GB2312" w:eastAsia="仿宋_GB2312" w:cs="仿宋_GB2312"/>
          <w:b/>
          <w:sz w:val="28"/>
          <w:highlight w:val="none"/>
          <w:lang w:eastAsia="zh-CN"/>
        </w:rPr>
        <w:t>、</w:t>
      </w:r>
      <w:r>
        <w:rPr>
          <w:rFonts w:ascii="仿宋_GB2312" w:hAnsi="仿宋_GB2312" w:eastAsia="仿宋_GB2312" w:cs="仿宋_GB2312"/>
          <w:b/>
          <w:sz w:val="28"/>
          <w:highlight w:val="none"/>
        </w:rPr>
        <w:t>证明材料</w:t>
      </w:r>
    </w:p>
    <w:p w14:paraId="14C3723B">
      <w:pPr>
        <w:pStyle w:val="11"/>
        <w:jc w:val="center"/>
        <w:outlineLvl w:val="5"/>
        <w:rPr>
          <w:highlight w:val="none"/>
        </w:rPr>
      </w:pPr>
      <w:r>
        <w:rPr>
          <w:rFonts w:ascii="仿宋_GB2312" w:hAnsi="仿宋_GB2312" w:eastAsia="仿宋_GB2312" w:cs="仿宋_GB2312"/>
          <w:b/>
          <w:sz w:val="28"/>
          <w:highlight w:val="none"/>
        </w:rPr>
        <w:t>营业执照等证明文件</w:t>
      </w:r>
      <w:r>
        <w:rPr>
          <w:highlight w:val="none"/>
        </w:rPr>
        <w:br w:type="textWrapping"/>
      </w:r>
    </w:p>
    <w:p w14:paraId="1A76C1A0">
      <w:pPr>
        <w:pStyle w:val="11"/>
        <w:spacing w:line="360" w:lineRule="auto"/>
        <w:ind w:firstLine="480"/>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（采购人或代理机构）</w:t>
      </w:r>
    </w:p>
    <w:p w14:paraId="5E9B32FB">
      <w:pPr>
        <w:pStyle w:val="11"/>
        <w:spacing w:line="360" w:lineRule="auto"/>
        <w:ind w:firstLine="480"/>
        <w:jc w:val="left"/>
        <w:rPr>
          <w:highlight w:val="none"/>
        </w:rPr>
      </w:pPr>
      <w:r>
        <w:rPr>
          <w:rFonts w:ascii="仿宋_GB2312" w:hAnsi="仿宋_GB2312" w:eastAsia="仿宋_GB2312" w:cs="仿宋_GB2312"/>
          <w:highlight w:val="none"/>
        </w:rPr>
        <w:t>（ ）供应商为法人（包括企业、事业单位和社会团体）的</w:t>
      </w:r>
    </w:p>
    <w:p w14:paraId="2D9A7F35">
      <w:pPr>
        <w:pStyle w:val="11"/>
        <w:spacing w:line="360" w:lineRule="auto"/>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w:t>
      </w:r>
      <w:r>
        <w:rPr>
          <w:rFonts w:ascii="仿宋_GB2312" w:hAnsi="仿宋_GB2312" w:eastAsia="仿宋_GB2312" w:cs="仿宋_GB2312"/>
          <w:highlight w:val="none"/>
          <w:u w:val="single"/>
        </w:rPr>
        <w:t>（请填写法人的具体证照名称）</w:t>
      </w:r>
      <w:r>
        <w:rPr>
          <w:rFonts w:ascii="仿宋_GB2312" w:hAnsi="仿宋_GB2312" w:eastAsia="仿宋_GB2312" w:cs="仿宋_GB2312"/>
          <w:highlight w:val="none"/>
        </w:rPr>
        <w:t>复印件，该证明材料真实有效，否则我方负全部责任。</w:t>
      </w:r>
    </w:p>
    <w:p w14:paraId="7E5FE19A">
      <w:pPr>
        <w:pStyle w:val="11"/>
        <w:spacing w:line="360" w:lineRule="auto"/>
        <w:ind w:firstLine="480"/>
        <w:jc w:val="left"/>
        <w:rPr>
          <w:highlight w:val="none"/>
        </w:rPr>
      </w:pPr>
      <w:r>
        <w:rPr>
          <w:rFonts w:ascii="仿宋_GB2312" w:hAnsi="仿宋_GB2312" w:eastAsia="仿宋_GB2312" w:cs="仿宋_GB2312"/>
          <w:highlight w:val="none"/>
        </w:rPr>
        <w:t>（ ）供应商为非法人（包括其他组织、自然人）的</w:t>
      </w:r>
    </w:p>
    <w:p w14:paraId="43202F8C">
      <w:pPr>
        <w:pStyle w:val="11"/>
        <w:spacing w:line="360" w:lineRule="auto"/>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w:t>
      </w:r>
      <w:r>
        <w:rPr>
          <w:rFonts w:ascii="仿宋_GB2312" w:hAnsi="仿宋_GB2312" w:eastAsia="仿宋_GB2312" w:cs="仿宋_GB2312"/>
          <w:highlight w:val="none"/>
          <w:u w:val="single"/>
        </w:rPr>
        <w:t>（请填写非自然人的非法人的具体证照名称）</w:t>
      </w:r>
      <w:r>
        <w:rPr>
          <w:rFonts w:ascii="仿宋_GB2312" w:hAnsi="仿宋_GB2312" w:eastAsia="仿宋_GB2312" w:cs="仿宋_GB2312"/>
          <w:highlight w:val="none"/>
        </w:rPr>
        <w:t>复印件，该证明材料真实有效，否则我方负全部责任。</w:t>
      </w:r>
    </w:p>
    <w:p w14:paraId="7B1C207C">
      <w:pPr>
        <w:pStyle w:val="11"/>
        <w:spacing w:line="360" w:lineRule="auto"/>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w:t>
      </w:r>
      <w:r>
        <w:rPr>
          <w:rFonts w:ascii="仿宋_GB2312" w:hAnsi="仿宋_GB2312" w:eastAsia="仿宋_GB2312" w:cs="仿宋_GB2312"/>
          <w:highlight w:val="none"/>
          <w:u w:val="single"/>
        </w:rPr>
        <w:t>（请填写自然人的身份证件名称）</w:t>
      </w:r>
      <w:r>
        <w:rPr>
          <w:rFonts w:ascii="仿宋_GB2312" w:hAnsi="仿宋_GB2312" w:eastAsia="仿宋_GB2312" w:cs="仿宋_GB2312"/>
          <w:highlight w:val="none"/>
        </w:rPr>
        <w:t>复印件，该证明材料真实有效，否则我方负全部责任。</w:t>
      </w:r>
      <w:r>
        <w:rPr>
          <w:highlight w:val="none"/>
        </w:rPr>
        <w:br w:type="textWrapping"/>
      </w:r>
      <w:r>
        <w:rPr>
          <w:highlight w:val="none"/>
        </w:rPr>
        <w:br w:type="textWrapping"/>
      </w:r>
    </w:p>
    <w:p w14:paraId="34117BB5">
      <w:pPr>
        <w:pStyle w:val="11"/>
        <w:spacing w:line="360" w:lineRule="auto"/>
        <w:ind w:firstLine="480"/>
        <w:jc w:val="left"/>
        <w:rPr>
          <w:highlight w:val="none"/>
        </w:rPr>
      </w:pPr>
      <w:r>
        <w:rPr>
          <w:rFonts w:ascii="仿宋_GB2312" w:hAnsi="仿宋_GB2312" w:eastAsia="仿宋_GB2312" w:cs="仿宋_GB2312"/>
          <w:highlight w:val="none"/>
        </w:rPr>
        <w:t>※注意：</w:t>
      </w:r>
    </w:p>
    <w:p w14:paraId="2B02F3CD">
      <w:pPr>
        <w:pStyle w:val="11"/>
        <w:spacing w:line="360" w:lineRule="auto"/>
        <w:ind w:firstLine="480"/>
        <w:jc w:val="left"/>
        <w:rPr>
          <w:highlight w:val="none"/>
        </w:rPr>
      </w:pPr>
      <w:r>
        <w:rPr>
          <w:rFonts w:ascii="仿宋_GB2312" w:hAnsi="仿宋_GB2312" w:eastAsia="仿宋_GB2312" w:cs="仿宋_GB2312"/>
          <w:highlight w:val="none"/>
        </w:rPr>
        <w:t>1、请供应商按照实际情况编制填写，在相应的（）中打“√”并选择相应的“□”（若有）后，再按照本格式的要求提供相应证明材料的复印件。</w:t>
      </w:r>
    </w:p>
    <w:p w14:paraId="598E655A">
      <w:pPr>
        <w:pStyle w:val="11"/>
        <w:spacing w:line="360" w:lineRule="auto"/>
        <w:ind w:firstLine="480"/>
        <w:jc w:val="left"/>
        <w:rPr>
          <w:highlight w:val="none"/>
        </w:rPr>
      </w:pPr>
      <w:r>
        <w:rPr>
          <w:rFonts w:ascii="仿宋_GB2312" w:hAnsi="仿宋_GB2312" w:eastAsia="仿宋_GB2312" w:cs="仿宋_GB2312"/>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highlight w:val="none"/>
        </w:rPr>
        <w:br w:type="textWrapping"/>
      </w:r>
      <w:r>
        <w:rPr>
          <w:highlight w:val="none"/>
        </w:rPr>
        <w:br w:type="textWrapping"/>
      </w:r>
    </w:p>
    <w:p w14:paraId="57B265D3">
      <w:pPr>
        <w:pStyle w:val="11"/>
        <w:spacing w:line="360" w:lineRule="auto"/>
        <w:ind w:firstLine="480"/>
        <w:jc w:val="left"/>
        <w:rPr>
          <w:highlight w:val="none"/>
        </w:rPr>
      </w:pPr>
      <w:bookmarkStart w:id="25" w:name="OLE_LINK13"/>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7105A8B0">
      <w:pPr>
        <w:pStyle w:val="11"/>
        <w:spacing w:line="360" w:lineRule="auto"/>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77F8D5DC">
      <w:pPr>
        <w:pStyle w:val="11"/>
        <w:spacing w:line="360" w:lineRule="auto"/>
        <w:ind w:firstLine="480"/>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bookmarkEnd w:id="25"/>
      <w:r>
        <w:rPr>
          <w:highlight w:val="none"/>
        </w:rPr>
        <w:br w:type="textWrapping"/>
      </w:r>
      <w:r>
        <w:rPr>
          <w:highlight w:val="none"/>
        </w:rPr>
        <w:br w:type="textWrapping"/>
      </w:r>
    </w:p>
    <w:p w14:paraId="76269046">
      <w:pPr>
        <w:pStyle w:val="11"/>
        <w:jc w:val="center"/>
        <w:outlineLvl w:val="5"/>
        <w:rPr>
          <w:highlight w:val="none"/>
        </w:rPr>
      </w:pPr>
      <w:r>
        <w:rPr>
          <w:rFonts w:ascii="仿宋_GB2312" w:hAnsi="仿宋_GB2312" w:eastAsia="仿宋_GB2312" w:cs="仿宋_GB2312"/>
          <w:b/>
          <w:sz w:val="28"/>
          <w:highlight w:val="none"/>
        </w:rPr>
        <w:t>财务状况报告</w:t>
      </w:r>
      <w:r>
        <w:rPr>
          <w:highlight w:val="none"/>
        </w:rPr>
        <w:br w:type="textWrapping"/>
      </w:r>
    </w:p>
    <w:p w14:paraId="22794110">
      <w:pPr>
        <w:pStyle w:val="11"/>
        <w:spacing w:line="400" w:lineRule="exact"/>
        <w:ind w:firstLine="482"/>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 xml:space="preserve"> （采购人或代理机构）</w:t>
      </w:r>
    </w:p>
    <w:p w14:paraId="16EF2502">
      <w:pPr>
        <w:pStyle w:val="11"/>
        <w:spacing w:line="400" w:lineRule="exact"/>
        <w:ind w:firstLine="482"/>
        <w:jc w:val="left"/>
        <w:rPr>
          <w:highlight w:val="none"/>
        </w:rPr>
      </w:pPr>
      <w:r>
        <w:rPr>
          <w:rFonts w:ascii="仿宋_GB2312" w:hAnsi="仿宋_GB2312" w:eastAsia="仿宋_GB2312" w:cs="仿宋_GB2312"/>
          <w:highlight w:val="none"/>
        </w:rPr>
        <w:t>（ ）供应商提供财务报告的</w:t>
      </w:r>
    </w:p>
    <w:p w14:paraId="40055DA5">
      <w:pPr>
        <w:pStyle w:val="11"/>
        <w:spacing w:line="400" w:lineRule="exact"/>
        <w:ind w:firstLine="482"/>
        <w:jc w:val="left"/>
        <w:rPr>
          <w:highlight w:val="none"/>
        </w:rPr>
      </w:pPr>
      <w:r>
        <w:rPr>
          <w:rFonts w:ascii="仿宋_GB2312" w:hAnsi="仿宋_GB2312" w:eastAsia="仿宋_GB2312" w:cs="仿宋_GB2312"/>
          <w:highlight w:val="none"/>
        </w:rPr>
        <w:t>□企业适用：现附上我方（填写“具体的年度、或半年度、或季度”）财务报告复印件，包括资产负债表、利润表、现金流量表、所有者权益变动表（若有）及其附注（若有）、会计师事务所营业执照和注册会计师资格证书，上述证明材料真实有效，否则我方负全部责任。</w:t>
      </w:r>
    </w:p>
    <w:p w14:paraId="20C0796D">
      <w:pPr>
        <w:pStyle w:val="11"/>
        <w:spacing w:line="400" w:lineRule="exact"/>
        <w:ind w:firstLine="482"/>
        <w:jc w:val="left"/>
        <w:rPr>
          <w:highlight w:val="none"/>
        </w:rPr>
      </w:pPr>
      <w:r>
        <w:rPr>
          <w:rFonts w:ascii="仿宋_GB2312" w:hAnsi="仿宋_GB2312" w:eastAsia="仿宋_GB2312" w:cs="仿宋_GB2312"/>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626C551A">
      <w:pPr>
        <w:pStyle w:val="11"/>
        <w:spacing w:line="400" w:lineRule="exact"/>
        <w:ind w:firstLine="482"/>
        <w:jc w:val="left"/>
        <w:rPr>
          <w:highlight w:val="none"/>
        </w:rPr>
      </w:pPr>
      <w:r>
        <w:rPr>
          <w:rFonts w:ascii="仿宋_GB2312" w:hAnsi="仿宋_GB2312" w:eastAsia="仿宋_GB2312" w:cs="仿宋_GB2312"/>
          <w:highlight w:val="none"/>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14:paraId="3DD9B91C">
      <w:pPr>
        <w:pStyle w:val="11"/>
        <w:spacing w:line="400" w:lineRule="exact"/>
        <w:ind w:firstLine="482"/>
        <w:jc w:val="left"/>
        <w:rPr>
          <w:highlight w:val="none"/>
        </w:rPr>
      </w:pPr>
      <w:r>
        <w:rPr>
          <w:rFonts w:ascii="仿宋_GB2312" w:hAnsi="仿宋_GB2312" w:eastAsia="仿宋_GB2312" w:cs="仿宋_GB2312"/>
          <w:highlight w:val="none"/>
        </w:rPr>
        <w:t>（ ）供应商提供资信证明的</w:t>
      </w:r>
    </w:p>
    <w:p w14:paraId="7F58FEE0">
      <w:pPr>
        <w:pStyle w:val="11"/>
        <w:spacing w:line="400" w:lineRule="exact"/>
        <w:ind w:firstLine="482"/>
        <w:jc w:val="left"/>
        <w:rPr>
          <w:highlight w:val="none"/>
        </w:rPr>
      </w:pPr>
      <w:r>
        <w:rPr>
          <w:rFonts w:ascii="仿宋_GB2312" w:hAnsi="仿宋_GB2312" w:eastAsia="仿宋_GB2312" w:cs="仿宋_GB2312"/>
          <w:highlight w:val="none"/>
        </w:rPr>
        <w:t>□非自然人适用（包括企业、事业单位、社会团体和其他组织）：现附上我方银行：（填写“开户银行全称”）出具的资信证明复印件，上述证明材料真实有效，否则我方负全部责任。</w:t>
      </w:r>
    </w:p>
    <w:p w14:paraId="1872141F">
      <w:pPr>
        <w:pStyle w:val="11"/>
        <w:spacing w:line="400" w:lineRule="exact"/>
        <w:ind w:firstLine="482"/>
        <w:jc w:val="left"/>
        <w:rPr>
          <w:highlight w:val="none"/>
        </w:rPr>
      </w:pPr>
      <w:r>
        <w:rPr>
          <w:rFonts w:ascii="仿宋_GB2312" w:hAnsi="仿宋_GB2312" w:eastAsia="仿宋_GB2312" w:cs="仿宋_GB2312"/>
          <w:highlight w:val="none"/>
        </w:rPr>
        <w:t>□自然人适用：现附上我方银行：（填写自然人的“个人账户的开户银行全称”）出具的资信证明复印件，上述证明材料真实有效，否则我方负全部责任。</w:t>
      </w:r>
    </w:p>
    <w:p w14:paraId="514EC6F9">
      <w:pPr>
        <w:pStyle w:val="11"/>
        <w:spacing w:line="400" w:lineRule="exact"/>
        <w:ind w:firstLine="482"/>
        <w:jc w:val="left"/>
        <w:rPr>
          <w:highlight w:val="none"/>
        </w:rPr>
      </w:pPr>
      <w:r>
        <w:rPr>
          <w:rFonts w:ascii="仿宋_GB2312" w:hAnsi="仿宋_GB2312" w:eastAsia="仿宋_GB2312" w:cs="仿宋_GB2312"/>
          <w:highlight w:val="none"/>
        </w:rPr>
        <w:t>※注意：</w:t>
      </w:r>
    </w:p>
    <w:p w14:paraId="03BEDB51">
      <w:pPr>
        <w:pStyle w:val="11"/>
        <w:spacing w:line="400" w:lineRule="exact"/>
        <w:ind w:firstLine="482"/>
        <w:jc w:val="left"/>
        <w:rPr>
          <w:highlight w:val="none"/>
        </w:rPr>
      </w:pPr>
      <w:r>
        <w:rPr>
          <w:rFonts w:ascii="仿宋_GB2312" w:hAnsi="仿宋_GB2312" w:eastAsia="仿宋_GB2312" w:cs="仿宋_GB2312"/>
          <w:highlight w:val="none"/>
        </w:rPr>
        <w:t>1、请供应商按照实际情况编制填写，在相应的（）中打“√”并选择相应的“□”（若有）后，再按照本格式的要求提供相应证明材料的复印件。</w:t>
      </w:r>
    </w:p>
    <w:p w14:paraId="529CEFB6">
      <w:pPr>
        <w:pStyle w:val="11"/>
        <w:spacing w:line="400" w:lineRule="exact"/>
        <w:ind w:firstLine="482"/>
        <w:jc w:val="left"/>
        <w:rPr>
          <w:highlight w:val="none"/>
        </w:rPr>
      </w:pPr>
      <w:r>
        <w:rPr>
          <w:rFonts w:ascii="仿宋_GB2312" w:hAnsi="仿宋_GB2312" w:eastAsia="仿宋_GB2312" w:cs="仿宋_GB2312"/>
          <w:highlight w:val="none"/>
        </w:rPr>
        <w:t>2、供应商提供的财务报告复印件（成立年限按照提交响应文件截止时间推算）应符合下列规定：</w:t>
      </w:r>
    </w:p>
    <w:p w14:paraId="021AC6A8">
      <w:pPr>
        <w:pStyle w:val="11"/>
        <w:spacing w:line="400" w:lineRule="exact"/>
        <w:ind w:firstLine="482"/>
        <w:jc w:val="left"/>
        <w:rPr>
          <w:highlight w:val="none"/>
        </w:rPr>
      </w:pPr>
      <w:r>
        <w:rPr>
          <w:rFonts w:ascii="仿宋_GB2312" w:hAnsi="仿宋_GB2312" w:eastAsia="仿宋_GB2312" w:cs="仿宋_GB2312"/>
          <w:highlight w:val="none"/>
        </w:rPr>
        <w:t>2.1成立年限满1年及以上的供应商，提供经审计的上一年度的年度财务报告。</w:t>
      </w:r>
    </w:p>
    <w:p w14:paraId="0D94996C">
      <w:pPr>
        <w:pStyle w:val="11"/>
        <w:spacing w:line="400" w:lineRule="exact"/>
        <w:ind w:firstLine="482"/>
        <w:jc w:val="left"/>
        <w:rPr>
          <w:highlight w:val="none"/>
        </w:rPr>
      </w:pPr>
      <w:r>
        <w:rPr>
          <w:rFonts w:ascii="仿宋_GB2312" w:hAnsi="仿宋_GB2312" w:eastAsia="仿宋_GB2312" w:cs="仿宋_GB2312"/>
          <w:highlight w:val="none"/>
        </w:rPr>
        <w:t>2.2成立年限满半年但不足1年的供应商，提供该半年度中任一季度的季度财务报告或该半年度的半年度财务报告。</w:t>
      </w:r>
    </w:p>
    <w:p w14:paraId="77B5DC2B">
      <w:pPr>
        <w:pStyle w:val="11"/>
        <w:spacing w:line="400" w:lineRule="exact"/>
        <w:ind w:firstLine="482"/>
        <w:jc w:val="left"/>
        <w:rPr>
          <w:highlight w:val="none"/>
        </w:rPr>
      </w:pPr>
      <w:r>
        <w:rPr>
          <w:rFonts w:ascii="仿宋_GB2312" w:hAnsi="仿宋_GB2312" w:eastAsia="仿宋_GB2312" w:cs="仿宋_GB2312"/>
          <w:b/>
          <w:highlight w:val="none"/>
        </w:rPr>
        <w:t>※无法按照本格式第2.1、2.2条规定提供财务报告复印件的供应商，应按照本格式的要求选择提供资信证明复印件。</w:t>
      </w:r>
      <w:r>
        <w:rPr>
          <w:highlight w:val="none"/>
        </w:rPr>
        <w:br w:type="textWrapping"/>
      </w:r>
    </w:p>
    <w:p w14:paraId="181E332C">
      <w:pPr>
        <w:pStyle w:val="11"/>
        <w:spacing w:line="400" w:lineRule="exact"/>
        <w:ind w:firstLine="482"/>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67F0E4F6">
      <w:pPr>
        <w:pStyle w:val="11"/>
        <w:spacing w:line="400" w:lineRule="exact"/>
        <w:ind w:firstLine="482"/>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767E3304">
      <w:pPr>
        <w:pStyle w:val="11"/>
        <w:spacing w:line="400" w:lineRule="exact"/>
        <w:ind w:firstLine="482"/>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p>
    <w:p w14:paraId="03C02D07">
      <w:pPr>
        <w:pStyle w:val="11"/>
        <w:jc w:val="center"/>
        <w:outlineLvl w:val="5"/>
        <w:rPr>
          <w:highlight w:val="none"/>
        </w:rPr>
      </w:pPr>
      <w:r>
        <w:rPr>
          <w:rFonts w:ascii="仿宋_GB2312" w:hAnsi="仿宋_GB2312" w:eastAsia="仿宋_GB2312" w:cs="仿宋_GB2312"/>
          <w:b/>
          <w:sz w:val="28"/>
          <w:highlight w:val="none"/>
        </w:rPr>
        <w:t>依法缴纳税收证明材料</w:t>
      </w:r>
      <w:r>
        <w:rPr>
          <w:highlight w:val="none"/>
        </w:rPr>
        <w:br w:type="textWrapping"/>
      </w:r>
    </w:p>
    <w:p w14:paraId="654D4DF3">
      <w:pPr>
        <w:pStyle w:val="11"/>
        <w:spacing w:line="400" w:lineRule="exact"/>
        <w:ind w:firstLine="482"/>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（采购人或采购代理机构）</w:t>
      </w:r>
    </w:p>
    <w:p w14:paraId="53C305A8">
      <w:pPr>
        <w:pStyle w:val="11"/>
        <w:spacing w:line="400" w:lineRule="exact"/>
        <w:ind w:firstLine="482"/>
        <w:jc w:val="left"/>
        <w:rPr>
          <w:highlight w:val="none"/>
        </w:rPr>
      </w:pPr>
      <w:r>
        <w:rPr>
          <w:rFonts w:ascii="仿宋_GB2312" w:hAnsi="仿宋_GB2312" w:eastAsia="仿宋_GB2312" w:cs="仿宋_GB2312"/>
          <w:highlight w:val="none"/>
        </w:rPr>
        <w:t>1、依法缴纳税收的供应商</w:t>
      </w:r>
    </w:p>
    <w:p w14:paraId="6AB2C226">
      <w:pPr>
        <w:pStyle w:val="11"/>
        <w:spacing w:line="400" w:lineRule="exact"/>
        <w:ind w:firstLine="482"/>
        <w:jc w:val="left"/>
        <w:rPr>
          <w:highlight w:val="none"/>
        </w:rPr>
      </w:pPr>
      <w:r>
        <w:rPr>
          <w:rFonts w:ascii="仿宋_GB2312" w:hAnsi="仿宋_GB2312" w:eastAsia="仿宋_GB2312" w:cs="仿宋_GB2312"/>
          <w:highlight w:val="none"/>
        </w:rPr>
        <w:t>（ ）法人（包括企业、事业单位和社会团体）的</w:t>
      </w:r>
    </w:p>
    <w:p w14:paraId="78C8E9C5">
      <w:pPr>
        <w:pStyle w:val="11"/>
        <w:spacing w:line="400" w:lineRule="exact"/>
        <w:ind w:firstLine="482"/>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日至</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日期间我方缴纳的（包括但不限于税务机关出具的专用收据、税收缴纳证明或税收代缴银行的缴款收讫凭证）等税收凭据复印件，上述证明材料真实有效，否则我方负全部责任。</w:t>
      </w:r>
    </w:p>
    <w:p w14:paraId="6A62E984">
      <w:pPr>
        <w:pStyle w:val="11"/>
        <w:spacing w:line="400" w:lineRule="exact"/>
        <w:ind w:firstLine="482"/>
        <w:jc w:val="left"/>
        <w:rPr>
          <w:highlight w:val="none"/>
        </w:rPr>
      </w:pPr>
      <w:r>
        <w:rPr>
          <w:rFonts w:ascii="仿宋_GB2312" w:hAnsi="仿宋_GB2312" w:eastAsia="仿宋_GB2312" w:cs="仿宋_GB2312"/>
          <w:highlight w:val="none"/>
        </w:rPr>
        <w:t>（ ）非法人（包括其他组织、自然人）的</w:t>
      </w:r>
    </w:p>
    <w:p w14:paraId="1589BDE3">
      <w:pPr>
        <w:pStyle w:val="11"/>
        <w:spacing w:line="400" w:lineRule="exact"/>
        <w:ind w:firstLine="482"/>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日至</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日期间我方缴纳（包括但不限于税务机关出具的专用收据、税收缴纳证明或税收代缴银行的缴款收讫凭证）等税收凭据复印件，上述证明材料真实有效，否则我方负全部责任。</w:t>
      </w:r>
    </w:p>
    <w:p w14:paraId="7EEAA81A">
      <w:pPr>
        <w:pStyle w:val="11"/>
        <w:spacing w:line="400" w:lineRule="exact"/>
        <w:ind w:firstLine="482"/>
        <w:jc w:val="left"/>
        <w:rPr>
          <w:highlight w:val="none"/>
        </w:rPr>
      </w:pPr>
      <w:r>
        <w:rPr>
          <w:rFonts w:ascii="仿宋_GB2312" w:hAnsi="仿宋_GB2312" w:eastAsia="仿宋_GB2312" w:cs="仿宋_GB2312"/>
          <w:highlight w:val="none"/>
        </w:rPr>
        <w:t>2、依法减免税收的供应商</w:t>
      </w:r>
    </w:p>
    <w:p w14:paraId="402D57E0">
      <w:pPr>
        <w:pStyle w:val="11"/>
        <w:spacing w:line="400" w:lineRule="exact"/>
        <w:ind w:firstLine="482"/>
        <w:jc w:val="left"/>
        <w:rPr>
          <w:highlight w:val="none"/>
        </w:rPr>
      </w:pPr>
      <w:r>
        <w:rPr>
          <w:rFonts w:ascii="仿宋_GB2312" w:hAnsi="仿宋_GB2312" w:eastAsia="仿宋_GB2312" w:cs="仿宋_GB2312"/>
          <w:highlight w:val="none"/>
        </w:rPr>
        <w:t>（ ）现附上我方依法减免税收的证明材料复印件，上述证明材料真实有效，否则我方负全部责任。</w:t>
      </w:r>
      <w:r>
        <w:rPr>
          <w:highlight w:val="none"/>
        </w:rPr>
        <w:br w:type="textWrapping"/>
      </w:r>
      <w:r>
        <w:rPr>
          <w:highlight w:val="none"/>
        </w:rPr>
        <w:br w:type="textWrapping"/>
      </w:r>
    </w:p>
    <w:p w14:paraId="242A5ED5">
      <w:pPr>
        <w:pStyle w:val="11"/>
        <w:spacing w:line="400" w:lineRule="exact"/>
        <w:ind w:firstLine="482"/>
        <w:jc w:val="left"/>
        <w:rPr>
          <w:highlight w:val="none"/>
        </w:rPr>
      </w:pPr>
      <w:r>
        <w:rPr>
          <w:rFonts w:ascii="仿宋_GB2312" w:hAnsi="仿宋_GB2312" w:eastAsia="仿宋_GB2312" w:cs="仿宋_GB2312"/>
          <w:highlight w:val="none"/>
        </w:rPr>
        <w:t>※注意：</w:t>
      </w:r>
    </w:p>
    <w:p w14:paraId="3A8C90C7">
      <w:pPr>
        <w:pStyle w:val="11"/>
        <w:spacing w:line="400" w:lineRule="exact"/>
        <w:ind w:firstLine="482"/>
        <w:jc w:val="left"/>
        <w:rPr>
          <w:highlight w:val="none"/>
        </w:rPr>
      </w:pPr>
      <w:r>
        <w:rPr>
          <w:rFonts w:ascii="仿宋_GB2312" w:hAnsi="仿宋_GB2312" w:eastAsia="仿宋_GB2312" w:cs="仿宋_GB2312"/>
          <w:highlight w:val="none"/>
        </w:rPr>
        <w:t>1、请供应商按照实际情况编制填写，在相应的（）中打“√”，并按照本格式的要求提供相应证明材料的复印件。</w:t>
      </w:r>
    </w:p>
    <w:p w14:paraId="54A9FFAA">
      <w:pPr>
        <w:pStyle w:val="11"/>
        <w:spacing w:line="400" w:lineRule="exact"/>
        <w:ind w:firstLine="482"/>
        <w:jc w:val="left"/>
        <w:rPr>
          <w:highlight w:val="none"/>
        </w:rPr>
      </w:pPr>
      <w:r>
        <w:rPr>
          <w:rFonts w:ascii="仿宋_GB2312" w:hAnsi="仿宋_GB2312" w:eastAsia="仿宋_GB2312" w:cs="仿宋_GB2312"/>
          <w:highlight w:val="none"/>
        </w:rPr>
        <w:t>2、供应商提供的税收凭据复印件应符合下列规定：</w:t>
      </w:r>
    </w:p>
    <w:p w14:paraId="15A3681C">
      <w:pPr>
        <w:pStyle w:val="11"/>
        <w:spacing w:line="400" w:lineRule="exact"/>
        <w:ind w:firstLine="482"/>
        <w:jc w:val="left"/>
        <w:rPr>
          <w:highlight w:val="none"/>
        </w:rPr>
      </w:pPr>
      <w:r>
        <w:rPr>
          <w:rFonts w:ascii="仿宋_GB2312" w:hAnsi="仿宋_GB2312" w:eastAsia="仿宋_GB2312" w:cs="仿宋_GB2312"/>
          <w:highlight w:val="none"/>
        </w:rPr>
        <w:t>2.1提交响应文件截止时间前（不含提交响应文件截止时间的当月）已依法缴纳税收的供应商，提供提交响应文件截止时间前六个月（不含提交响应文件截止时间的当月）中任一月份的税收凭据复印件。</w:t>
      </w:r>
    </w:p>
    <w:p w14:paraId="55F6DC0E">
      <w:pPr>
        <w:pStyle w:val="11"/>
        <w:spacing w:line="400" w:lineRule="exact"/>
        <w:ind w:firstLine="482"/>
        <w:jc w:val="left"/>
        <w:rPr>
          <w:highlight w:val="none"/>
        </w:rPr>
      </w:pPr>
      <w:r>
        <w:rPr>
          <w:rFonts w:ascii="仿宋_GB2312" w:hAnsi="仿宋_GB2312" w:eastAsia="仿宋_GB2312" w:cs="仿宋_GB2312"/>
          <w:highlight w:val="none"/>
        </w:rPr>
        <w:t>2.2提交响应文件截止时间的当月成立的供应商,视同满足本项资格条件要求。</w:t>
      </w:r>
      <w:r>
        <w:rPr>
          <w:highlight w:val="none"/>
        </w:rPr>
        <w:br w:type="textWrapping"/>
      </w:r>
      <w:r>
        <w:rPr>
          <w:highlight w:val="none"/>
        </w:rPr>
        <w:br w:type="textWrapping"/>
      </w:r>
    </w:p>
    <w:p w14:paraId="1E2EEBDB">
      <w:pPr>
        <w:pStyle w:val="11"/>
        <w:spacing w:line="400" w:lineRule="exact"/>
        <w:ind w:firstLine="482"/>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6029BF91">
      <w:pPr>
        <w:pStyle w:val="11"/>
        <w:spacing w:line="400" w:lineRule="exact"/>
        <w:ind w:firstLine="482"/>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3DD5C4E3">
      <w:pPr>
        <w:pStyle w:val="11"/>
        <w:spacing w:line="400" w:lineRule="exact"/>
        <w:ind w:firstLine="482"/>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r>
        <w:rPr>
          <w:highlight w:val="none"/>
        </w:rPr>
        <w:br w:type="textWrapping"/>
      </w:r>
      <w:r>
        <w:rPr>
          <w:highlight w:val="none"/>
        </w:rPr>
        <w:br w:type="textWrapping"/>
      </w:r>
    </w:p>
    <w:p w14:paraId="0C58CCD4">
      <w:pPr>
        <w:pStyle w:val="11"/>
        <w:rPr>
          <w:highlight w:val="none"/>
        </w:rPr>
      </w:pPr>
      <w:r>
        <w:rPr>
          <w:rFonts w:ascii="仿宋_GB2312" w:hAnsi="仿宋_GB2312" w:eastAsia="仿宋_GB2312" w:cs="仿宋_GB2312"/>
          <w:highlight w:val="none"/>
        </w:rPr>
        <w:t xml:space="preserve"> </w:t>
      </w:r>
    </w:p>
    <w:p w14:paraId="4B63FC17">
      <w:pPr>
        <w:pStyle w:val="11"/>
        <w:jc w:val="center"/>
        <w:outlineLvl w:val="5"/>
        <w:rPr>
          <w:highlight w:val="none"/>
        </w:rPr>
      </w:pPr>
      <w:r>
        <w:rPr>
          <w:rFonts w:ascii="仿宋_GB2312" w:hAnsi="仿宋_GB2312" w:eastAsia="仿宋_GB2312" w:cs="仿宋_GB2312"/>
          <w:b/>
          <w:sz w:val="28"/>
          <w:highlight w:val="none"/>
        </w:rPr>
        <w:t>依法缴纳社会保障资金证明材料</w:t>
      </w:r>
    </w:p>
    <w:p w14:paraId="5066D0A0">
      <w:pPr>
        <w:pStyle w:val="11"/>
        <w:spacing w:line="400" w:lineRule="exact"/>
        <w:ind w:firstLine="482"/>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（采购人或采购代理机构）</w:t>
      </w:r>
    </w:p>
    <w:p w14:paraId="6CF77F56">
      <w:pPr>
        <w:pStyle w:val="11"/>
        <w:spacing w:line="400" w:lineRule="exact"/>
        <w:ind w:firstLine="482"/>
        <w:jc w:val="left"/>
        <w:rPr>
          <w:highlight w:val="none"/>
        </w:rPr>
      </w:pPr>
      <w:r>
        <w:rPr>
          <w:rFonts w:ascii="仿宋_GB2312" w:hAnsi="仿宋_GB2312" w:eastAsia="仿宋_GB2312" w:cs="仿宋_GB2312"/>
          <w:highlight w:val="none"/>
        </w:rPr>
        <w:t>1、依法缴纳社会保障资金的供应商</w:t>
      </w:r>
    </w:p>
    <w:p w14:paraId="40C0893D">
      <w:pPr>
        <w:pStyle w:val="11"/>
        <w:spacing w:line="400" w:lineRule="exact"/>
        <w:ind w:firstLine="482"/>
        <w:jc w:val="left"/>
        <w:rPr>
          <w:highlight w:val="none"/>
        </w:rPr>
      </w:pPr>
      <w:r>
        <w:rPr>
          <w:rFonts w:ascii="仿宋_GB2312" w:hAnsi="仿宋_GB2312" w:eastAsia="仿宋_GB2312" w:cs="仿宋_GB2312"/>
          <w:highlight w:val="none"/>
        </w:rPr>
        <w:t>（ ）法人（包括企业、事业单位和社会团体）的</w:t>
      </w:r>
    </w:p>
    <w:p w14:paraId="38BB33AC">
      <w:pPr>
        <w:pStyle w:val="11"/>
        <w:spacing w:line="400" w:lineRule="exact"/>
        <w:ind w:firstLine="482"/>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日至</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2ED6B3EC">
      <w:pPr>
        <w:pStyle w:val="11"/>
        <w:spacing w:line="400" w:lineRule="exact"/>
        <w:ind w:firstLine="482"/>
        <w:jc w:val="left"/>
        <w:rPr>
          <w:highlight w:val="none"/>
        </w:rPr>
      </w:pPr>
      <w:r>
        <w:rPr>
          <w:rFonts w:ascii="仿宋_GB2312" w:hAnsi="仿宋_GB2312" w:eastAsia="仿宋_GB2312" w:cs="仿宋_GB2312"/>
          <w:highlight w:val="none"/>
        </w:rPr>
        <w:t>（ ）非法人（包括其他组织、自然人）的</w:t>
      </w:r>
    </w:p>
    <w:p w14:paraId="42BA5F6A">
      <w:pPr>
        <w:pStyle w:val="11"/>
        <w:spacing w:line="400" w:lineRule="exact"/>
        <w:ind w:firstLine="482"/>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日至</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9EFF6CF">
      <w:pPr>
        <w:pStyle w:val="11"/>
        <w:spacing w:line="400" w:lineRule="exact"/>
        <w:ind w:firstLine="482"/>
        <w:jc w:val="left"/>
        <w:rPr>
          <w:highlight w:val="none"/>
        </w:rPr>
      </w:pPr>
      <w:r>
        <w:rPr>
          <w:rFonts w:ascii="仿宋_GB2312" w:hAnsi="仿宋_GB2312" w:eastAsia="仿宋_GB2312" w:cs="仿宋_GB2312"/>
          <w:highlight w:val="none"/>
        </w:rPr>
        <w:t>2、依法不需要缴纳或暂缓缴纳社会保障资金的</w:t>
      </w:r>
      <w:r>
        <w:rPr>
          <w:rFonts w:hint="eastAsia" w:ascii="仿宋_GB2312" w:hAnsi="仿宋_GB2312" w:eastAsia="仿宋_GB2312" w:cs="仿宋_GB2312"/>
          <w:highlight w:val="none"/>
          <w:lang w:eastAsia="zh-CN"/>
        </w:rPr>
        <w:t>供应商</w:t>
      </w:r>
    </w:p>
    <w:p w14:paraId="2E6D966A">
      <w:pPr>
        <w:pStyle w:val="11"/>
        <w:spacing w:line="400" w:lineRule="exact"/>
        <w:ind w:firstLine="482"/>
        <w:jc w:val="left"/>
        <w:rPr>
          <w:highlight w:val="none"/>
        </w:rPr>
      </w:pPr>
      <w:r>
        <w:rPr>
          <w:rFonts w:ascii="仿宋_GB2312" w:hAnsi="仿宋_GB2312" w:eastAsia="仿宋_GB2312" w:cs="仿宋_GB2312"/>
          <w:highlight w:val="none"/>
        </w:rPr>
        <w:t>（）现附上我方依法不需要缴纳或暂缓缴纳社会保障资金证明材料复印件，上述证明材料真实有效，否则我方负全部责任。</w:t>
      </w:r>
      <w:r>
        <w:rPr>
          <w:highlight w:val="none"/>
        </w:rPr>
        <w:br w:type="textWrapping"/>
      </w:r>
      <w:r>
        <w:rPr>
          <w:highlight w:val="none"/>
        </w:rPr>
        <w:br w:type="textWrapping"/>
      </w:r>
    </w:p>
    <w:p w14:paraId="2A39763B">
      <w:pPr>
        <w:pStyle w:val="11"/>
        <w:spacing w:line="400" w:lineRule="exact"/>
        <w:ind w:firstLine="482"/>
        <w:jc w:val="left"/>
        <w:rPr>
          <w:highlight w:val="none"/>
        </w:rPr>
      </w:pPr>
      <w:r>
        <w:rPr>
          <w:rFonts w:ascii="仿宋_GB2312" w:hAnsi="仿宋_GB2312" w:eastAsia="仿宋_GB2312" w:cs="仿宋_GB2312"/>
          <w:highlight w:val="none"/>
        </w:rPr>
        <w:t>※注意：</w:t>
      </w:r>
    </w:p>
    <w:p w14:paraId="725D16D1">
      <w:pPr>
        <w:pStyle w:val="11"/>
        <w:spacing w:line="400" w:lineRule="exact"/>
        <w:ind w:firstLine="482"/>
        <w:jc w:val="left"/>
        <w:rPr>
          <w:highlight w:val="none"/>
        </w:rPr>
      </w:pPr>
      <w:r>
        <w:rPr>
          <w:rFonts w:ascii="仿宋_GB2312" w:hAnsi="仿宋_GB2312" w:eastAsia="仿宋_GB2312" w:cs="仿宋_GB2312"/>
          <w:highlight w:val="none"/>
        </w:rPr>
        <w:t>1、请供应商按照实际情况编制填写，在相应的（）中打“√”，并按照本格式的要求提供相应证明材料的复印件。</w:t>
      </w:r>
    </w:p>
    <w:p w14:paraId="1DC40D74">
      <w:pPr>
        <w:pStyle w:val="11"/>
        <w:spacing w:line="400" w:lineRule="exact"/>
        <w:ind w:firstLine="482"/>
        <w:jc w:val="left"/>
        <w:rPr>
          <w:highlight w:val="none"/>
        </w:rPr>
      </w:pPr>
      <w:r>
        <w:rPr>
          <w:rFonts w:ascii="仿宋_GB2312" w:hAnsi="仿宋_GB2312" w:eastAsia="仿宋_GB2312" w:cs="仿宋_GB2312"/>
          <w:highlight w:val="none"/>
        </w:rPr>
        <w:t>2、供应商提供的社会保险凭据复印件应符合下列规定：</w:t>
      </w:r>
    </w:p>
    <w:p w14:paraId="03D2459B">
      <w:pPr>
        <w:pStyle w:val="11"/>
        <w:spacing w:line="400" w:lineRule="exact"/>
        <w:ind w:firstLine="482"/>
        <w:jc w:val="left"/>
        <w:rPr>
          <w:highlight w:val="none"/>
        </w:rPr>
      </w:pPr>
      <w:r>
        <w:rPr>
          <w:rFonts w:ascii="仿宋_GB2312" w:hAnsi="仿宋_GB2312" w:eastAsia="仿宋_GB2312" w:cs="仿宋_GB2312"/>
          <w:highlight w:val="none"/>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227A44AD">
      <w:pPr>
        <w:pStyle w:val="11"/>
        <w:spacing w:line="400" w:lineRule="exact"/>
        <w:ind w:firstLine="482"/>
        <w:jc w:val="left"/>
        <w:rPr>
          <w:highlight w:val="none"/>
        </w:rPr>
      </w:pPr>
      <w:r>
        <w:rPr>
          <w:rFonts w:ascii="仿宋_GB2312" w:hAnsi="仿宋_GB2312" w:eastAsia="仿宋_GB2312" w:cs="仿宋_GB2312"/>
          <w:highlight w:val="none"/>
        </w:rPr>
        <w:t>2.2提交响应文件截止时间的当月成立的供应商，视同满足本项资格条件要求。</w:t>
      </w:r>
    </w:p>
    <w:p w14:paraId="2F03115F">
      <w:pPr>
        <w:pStyle w:val="11"/>
        <w:spacing w:line="400" w:lineRule="exact"/>
        <w:ind w:firstLine="482"/>
        <w:jc w:val="left"/>
        <w:rPr>
          <w:highlight w:val="none"/>
        </w:rPr>
      </w:pPr>
      <w:r>
        <w:rPr>
          <w:rFonts w:ascii="仿宋_GB2312" w:hAnsi="仿宋_GB2312" w:eastAsia="仿宋_GB2312" w:cs="仿宋_GB2312"/>
          <w:highlight w:val="none"/>
        </w:rPr>
        <w:t>2.3若为依法不需要缴纳或暂缓缴纳社会保障资金的供应商，提供依法不需要缴纳或暂缓缴纳社会保障资金证明材料的，视同满足本项资格条件要求。</w:t>
      </w:r>
      <w:r>
        <w:rPr>
          <w:highlight w:val="none"/>
        </w:rPr>
        <w:br w:type="textWrapping"/>
      </w:r>
      <w:r>
        <w:rPr>
          <w:highlight w:val="none"/>
        </w:rPr>
        <w:br w:type="textWrapping"/>
      </w:r>
    </w:p>
    <w:p w14:paraId="7FC7ECE1">
      <w:pPr>
        <w:pStyle w:val="11"/>
        <w:spacing w:line="400" w:lineRule="exact"/>
        <w:ind w:firstLine="482"/>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66A02D2A">
      <w:pPr>
        <w:pStyle w:val="11"/>
        <w:spacing w:line="400" w:lineRule="exact"/>
        <w:ind w:firstLine="482"/>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39699F87">
      <w:pPr>
        <w:pStyle w:val="11"/>
        <w:spacing w:line="400" w:lineRule="exact"/>
        <w:ind w:firstLine="482"/>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p>
    <w:p w14:paraId="6C0A9395">
      <w:pPr>
        <w:pStyle w:val="11"/>
        <w:jc w:val="center"/>
        <w:outlineLvl w:val="5"/>
        <w:rPr>
          <w:highlight w:val="none"/>
        </w:rPr>
      </w:pPr>
      <w:r>
        <w:rPr>
          <w:rFonts w:ascii="仿宋_GB2312" w:hAnsi="仿宋_GB2312" w:eastAsia="仿宋_GB2312" w:cs="仿宋_GB2312"/>
          <w:b/>
          <w:sz w:val="28"/>
          <w:highlight w:val="none"/>
        </w:rPr>
        <w:t>具备履行合同所必需设备和专业技术能力证明材料</w:t>
      </w:r>
    </w:p>
    <w:p w14:paraId="3EE6CEE2">
      <w:pPr>
        <w:pStyle w:val="11"/>
        <w:spacing w:line="360" w:lineRule="auto"/>
        <w:ind w:firstLine="480"/>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 xml:space="preserve"> （采购人或采购代理机构）</w:t>
      </w:r>
    </w:p>
    <w:p w14:paraId="767DF85A">
      <w:pPr>
        <w:pStyle w:val="11"/>
        <w:spacing w:line="360" w:lineRule="auto"/>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3FFCDA10">
      <w:pPr>
        <w:pStyle w:val="11"/>
        <w:spacing w:line="360" w:lineRule="auto"/>
        <w:ind w:firstLine="480"/>
        <w:jc w:val="left"/>
        <w:rPr>
          <w:highlight w:val="none"/>
        </w:rPr>
      </w:pPr>
      <w:r>
        <w:rPr>
          <w:rFonts w:ascii="仿宋_GB2312" w:hAnsi="仿宋_GB2312" w:eastAsia="仿宋_GB2312" w:cs="仿宋_GB2312"/>
          <w:highlight w:val="none"/>
        </w:rPr>
        <w:t>特此声明。</w:t>
      </w:r>
      <w:r>
        <w:rPr>
          <w:highlight w:val="none"/>
        </w:rPr>
        <w:br w:type="textWrapping"/>
      </w:r>
      <w:r>
        <w:rPr>
          <w:highlight w:val="none"/>
        </w:rPr>
        <w:br w:type="textWrapping"/>
      </w:r>
    </w:p>
    <w:p w14:paraId="668B27E0">
      <w:pPr>
        <w:pStyle w:val="11"/>
        <w:spacing w:line="360" w:lineRule="auto"/>
        <w:ind w:firstLine="480"/>
        <w:jc w:val="left"/>
        <w:rPr>
          <w:highlight w:val="none"/>
        </w:rPr>
      </w:pPr>
      <w:r>
        <w:rPr>
          <w:rFonts w:ascii="仿宋_GB2312" w:hAnsi="仿宋_GB2312" w:eastAsia="仿宋_GB2312" w:cs="仿宋_GB2312"/>
          <w:highlight w:val="none"/>
        </w:rPr>
        <w:t>※注意：</w:t>
      </w:r>
    </w:p>
    <w:p w14:paraId="0E730B01">
      <w:pPr>
        <w:pStyle w:val="11"/>
        <w:spacing w:line="360" w:lineRule="auto"/>
        <w:ind w:firstLine="480"/>
        <w:jc w:val="left"/>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未要求供应商提供</w:t>
      </w:r>
      <w:r>
        <w:rPr>
          <w:rFonts w:ascii="仿宋_GB2312" w:hAnsi="仿宋_GB2312" w:eastAsia="仿宋_GB2312" w:cs="仿宋_GB2312"/>
          <w:b/>
          <w:highlight w:val="none"/>
        </w:rPr>
        <w:t>“具备履行合同所必需的设备和专业技术能力的专项证明材料”</w:t>
      </w:r>
      <w:r>
        <w:rPr>
          <w:rFonts w:ascii="仿宋_GB2312" w:hAnsi="仿宋_GB2312" w:eastAsia="仿宋_GB2312" w:cs="仿宋_GB2312"/>
          <w:highlight w:val="none"/>
        </w:rPr>
        <w:t>的，供应商应提供本</w:t>
      </w:r>
      <w:r>
        <w:rPr>
          <w:rFonts w:ascii="仿宋_GB2312" w:hAnsi="仿宋_GB2312" w:eastAsia="仿宋_GB2312" w:cs="仿宋_GB2312"/>
          <w:b/>
          <w:highlight w:val="none"/>
        </w:rPr>
        <w:t>“具备履行合同所必需的设备和专业技术能力的基本证明材料”</w:t>
      </w:r>
      <w:r>
        <w:rPr>
          <w:rFonts w:ascii="仿宋_GB2312" w:hAnsi="仿宋_GB2312" w:eastAsia="仿宋_GB2312" w:cs="仿宋_GB2312"/>
          <w:highlight w:val="none"/>
        </w:rPr>
        <w:t>。</w:t>
      </w:r>
    </w:p>
    <w:p w14:paraId="108A2855">
      <w:pPr>
        <w:pStyle w:val="11"/>
        <w:spacing w:line="360" w:lineRule="auto"/>
        <w:ind w:firstLine="480"/>
        <w:jc w:val="left"/>
        <w:rPr>
          <w:highlight w:val="none"/>
        </w:rPr>
      </w:pPr>
      <w:r>
        <w:rPr>
          <w:rFonts w:ascii="仿宋_GB2312" w:hAnsi="仿宋_GB2312" w:eastAsia="仿宋_GB2312" w:cs="仿宋_GB2312"/>
          <w:highlight w:val="none"/>
        </w:rPr>
        <w:t>2、</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要求供应商提供</w:t>
      </w:r>
      <w:r>
        <w:rPr>
          <w:rFonts w:ascii="仿宋_GB2312" w:hAnsi="仿宋_GB2312" w:eastAsia="仿宋_GB2312" w:cs="仿宋_GB2312"/>
          <w:b/>
          <w:highlight w:val="none"/>
        </w:rPr>
        <w:t>“具备履行合同所必需的设备和专业技术能力的专项证明材料”</w:t>
      </w:r>
      <w:r>
        <w:rPr>
          <w:rFonts w:ascii="仿宋_GB2312" w:hAnsi="仿宋_GB2312" w:eastAsia="仿宋_GB2312" w:cs="仿宋_GB2312"/>
          <w:highlight w:val="none"/>
        </w:rPr>
        <w:t>的，供应商须另列提供。</w:t>
      </w:r>
    </w:p>
    <w:p w14:paraId="5E71F07C">
      <w:pPr>
        <w:pStyle w:val="11"/>
        <w:spacing w:line="360" w:lineRule="auto"/>
        <w:ind w:firstLine="480"/>
        <w:jc w:val="left"/>
        <w:rPr>
          <w:highlight w:val="none"/>
        </w:rPr>
      </w:pPr>
      <w:r>
        <w:rPr>
          <w:rFonts w:ascii="仿宋_GB2312" w:hAnsi="仿宋_GB2312" w:eastAsia="仿宋_GB2312" w:cs="仿宋_GB2312"/>
          <w:highlight w:val="none"/>
        </w:rPr>
        <w:t>3、纸质响应文件正本中的本材料（若有）应为原件。</w:t>
      </w:r>
    </w:p>
    <w:p w14:paraId="6963E0EA">
      <w:pPr>
        <w:pStyle w:val="11"/>
        <w:spacing w:line="360" w:lineRule="auto"/>
        <w:ind w:firstLine="480"/>
        <w:jc w:val="left"/>
        <w:rPr>
          <w:highlight w:val="none"/>
        </w:rPr>
      </w:pPr>
      <w:r>
        <w:rPr>
          <w:rFonts w:ascii="仿宋_GB2312" w:hAnsi="仿宋_GB2312" w:eastAsia="仿宋_GB2312" w:cs="仿宋_GB2312"/>
          <w:highlight w:val="none"/>
        </w:rPr>
        <w:t>4、请供应商根据实际情况如实声明，否则</w:t>
      </w:r>
      <w:r>
        <w:rPr>
          <w:rFonts w:ascii="仿宋_GB2312" w:hAnsi="仿宋_GB2312" w:eastAsia="仿宋_GB2312" w:cs="仿宋_GB2312"/>
          <w:b/>
          <w:highlight w:val="none"/>
        </w:rPr>
        <w:t>视为提供虚假材料。</w:t>
      </w:r>
      <w:r>
        <w:rPr>
          <w:highlight w:val="none"/>
        </w:rPr>
        <w:br w:type="textWrapping"/>
      </w:r>
      <w:r>
        <w:rPr>
          <w:highlight w:val="none"/>
        </w:rPr>
        <w:br w:type="textWrapping"/>
      </w:r>
    </w:p>
    <w:p w14:paraId="60D0C927">
      <w:pPr>
        <w:pStyle w:val="11"/>
        <w:spacing w:line="360" w:lineRule="auto"/>
        <w:ind w:firstLine="480"/>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0566BC55">
      <w:pPr>
        <w:pStyle w:val="11"/>
        <w:spacing w:line="360" w:lineRule="auto"/>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26713EDE">
      <w:pPr>
        <w:pStyle w:val="11"/>
        <w:spacing w:line="360" w:lineRule="auto"/>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r>
        <w:rPr>
          <w:highlight w:val="none"/>
        </w:rPr>
        <w:br w:type="textWrapping"/>
      </w:r>
      <w:r>
        <w:rPr>
          <w:highlight w:val="none"/>
        </w:rPr>
        <w:br w:type="textWrapping"/>
      </w:r>
    </w:p>
    <w:p w14:paraId="6DC70393">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48B862D">
      <w:pPr>
        <w:pStyle w:val="11"/>
        <w:jc w:val="center"/>
        <w:outlineLvl w:val="5"/>
        <w:rPr>
          <w:highlight w:val="none"/>
        </w:rPr>
      </w:pPr>
      <w:r>
        <w:rPr>
          <w:rFonts w:ascii="仿宋_GB2312" w:hAnsi="仿宋_GB2312" w:eastAsia="仿宋_GB2312" w:cs="仿宋_GB2312"/>
          <w:b/>
          <w:sz w:val="28"/>
          <w:highlight w:val="none"/>
        </w:rPr>
        <w:t>参加采购活动前三年内在经营活动中没有重大违法记录书面声明</w:t>
      </w:r>
    </w:p>
    <w:p w14:paraId="477D0EE7">
      <w:pPr>
        <w:pStyle w:val="11"/>
        <w:spacing w:line="360" w:lineRule="auto"/>
        <w:ind w:firstLine="480"/>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 xml:space="preserve"> （采购人或采购代理机构）</w:t>
      </w:r>
    </w:p>
    <w:p w14:paraId="07DECDB5">
      <w:pPr>
        <w:pStyle w:val="11"/>
        <w:spacing w:line="360" w:lineRule="auto"/>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6F606DC">
      <w:pPr>
        <w:pStyle w:val="11"/>
        <w:spacing w:line="360" w:lineRule="auto"/>
        <w:ind w:firstLine="480"/>
        <w:jc w:val="left"/>
        <w:rPr>
          <w:highlight w:val="none"/>
        </w:rPr>
      </w:pPr>
      <w:r>
        <w:rPr>
          <w:rFonts w:ascii="仿宋_GB2312" w:hAnsi="仿宋_GB2312" w:eastAsia="仿宋_GB2312" w:cs="仿宋_GB2312"/>
          <w:highlight w:val="none"/>
        </w:rPr>
        <w:t>特此声明。</w:t>
      </w:r>
    </w:p>
    <w:p w14:paraId="4D9A1296">
      <w:pPr>
        <w:pStyle w:val="11"/>
        <w:spacing w:line="360" w:lineRule="auto"/>
        <w:ind w:firstLine="480"/>
        <w:jc w:val="left"/>
        <w:rPr>
          <w:highlight w:val="none"/>
        </w:rPr>
      </w:pPr>
      <w:r>
        <w:rPr>
          <w:rFonts w:ascii="仿宋_GB2312" w:hAnsi="仿宋_GB2312" w:eastAsia="仿宋_GB2312" w:cs="仿宋_GB2312"/>
          <w:highlight w:val="none"/>
        </w:rPr>
        <w:t>※注意：</w:t>
      </w:r>
    </w:p>
    <w:p w14:paraId="5615F336">
      <w:pPr>
        <w:pStyle w:val="11"/>
        <w:spacing w:line="360" w:lineRule="auto"/>
        <w:ind w:firstLine="480"/>
        <w:jc w:val="left"/>
        <w:rPr>
          <w:highlight w:val="none"/>
        </w:rPr>
      </w:pPr>
      <w:r>
        <w:rPr>
          <w:rFonts w:ascii="仿宋_GB2312" w:hAnsi="仿宋_GB2312" w:eastAsia="仿宋_GB2312" w:cs="仿宋_GB2312"/>
          <w:highlight w:val="none"/>
        </w:rPr>
        <w:t>1、“重大违法记录”指</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5AA560D">
      <w:pPr>
        <w:pStyle w:val="11"/>
        <w:spacing w:line="360" w:lineRule="auto"/>
        <w:ind w:firstLine="480"/>
        <w:jc w:val="left"/>
        <w:rPr>
          <w:highlight w:val="none"/>
        </w:rPr>
      </w:pPr>
      <w:r>
        <w:rPr>
          <w:rFonts w:ascii="仿宋_GB2312" w:hAnsi="仿宋_GB2312" w:eastAsia="仿宋_GB2312" w:cs="仿宋_GB2312"/>
          <w:highlight w:val="none"/>
        </w:rPr>
        <w:t>2、请供应商根据实际情况如实声明，否则视为提供虚假材料。</w:t>
      </w:r>
      <w:r>
        <w:rPr>
          <w:highlight w:val="none"/>
        </w:rPr>
        <w:br w:type="textWrapping"/>
      </w:r>
      <w:r>
        <w:rPr>
          <w:highlight w:val="none"/>
        </w:rPr>
        <w:br w:type="textWrapping"/>
      </w:r>
    </w:p>
    <w:p w14:paraId="3D97CDBE">
      <w:pPr>
        <w:pStyle w:val="11"/>
        <w:spacing w:line="360" w:lineRule="auto"/>
        <w:ind w:firstLine="480"/>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1F0A5EE5">
      <w:pPr>
        <w:pStyle w:val="11"/>
        <w:spacing w:line="360" w:lineRule="auto"/>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33FB1F58">
      <w:pPr>
        <w:pStyle w:val="11"/>
        <w:spacing w:line="360" w:lineRule="auto"/>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r>
        <w:rPr>
          <w:highlight w:val="none"/>
        </w:rPr>
        <w:br w:type="textWrapping"/>
      </w:r>
      <w:r>
        <w:rPr>
          <w:highlight w:val="none"/>
        </w:rPr>
        <w:br w:type="textWrapping"/>
      </w:r>
    </w:p>
    <w:p w14:paraId="4638BE42">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EAAF0FD">
      <w:pPr>
        <w:pStyle w:val="11"/>
        <w:jc w:val="center"/>
        <w:outlineLvl w:val="3"/>
        <w:rPr>
          <w:rFonts w:ascii="仿宋_GB2312" w:hAnsi="仿宋_GB2312" w:eastAsia="仿宋_GB2312" w:cs="仿宋_GB2312"/>
          <w:b/>
          <w:sz w:val="28"/>
          <w:highlight w:val="none"/>
        </w:rPr>
      </w:pPr>
      <w:r>
        <w:rPr>
          <w:rFonts w:ascii="仿宋_GB2312" w:hAnsi="仿宋_GB2312" w:eastAsia="仿宋_GB2312" w:cs="仿宋_GB2312"/>
          <w:b/>
          <w:sz w:val="28"/>
          <w:highlight w:val="none"/>
        </w:rPr>
        <w:t>4-3、信用记录查询结果</w:t>
      </w:r>
    </w:p>
    <w:p w14:paraId="52F3BF9C">
      <w:pPr>
        <w:pStyle w:val="11"/>
        <w:spacing w:line="360" w:lineRule="auto"/>
        <w:ind w:firstLine="480"/>
        <w:jc w:val="left"/>
        <w:rPr>
          <w:highlight w:val="none"/>
        </w:rPr>
      </w:pPr>
      <w:r>
        <w:rPr>
          <w:rFonts w:ascii="仿宋_GB2312" w:hAnsi="仿宋_GB2312" w:eastAsia="仿宋_GB2312" w:cs="仿宋_GB2312"/>
          <w:highlight w:val="none"/>
        </w:rPr>
        <w:t>1、由</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小组通过网站查询并打印供应商的信用记录。</w:t>
      </w:r>
    </w:p>
    <w:p w14:paraId="6523B180">
      <w:pPr>
        <w:pStyle w:val="11"/>
        <w:spacing w:line="360" w:lineRule="auto"/>
        <w:ind w:firstLine="480"/>
        <w:jc w:val="left"/>
        <w:rPr>
          <w:highlight w:val="none"/>
        </w:rPr>
      </w:pPr>
      <w:r>
        <w:rPr>
          <w:rFonts w:ascii="仿宋_GB2312" w:hAnsi="仿宋_GB2312" w:eastAsia="仿宋_GB2312" w:cs="仿宋_GB2312"/>
          <w:highlight w:val="none"/>
        </w:rPr>
        <w:t>2、经查询，供应商参加本项目采购活动(</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截止时间)前三年内被列入</w:t>
      </w:r>
      <w:r>
        <w:rPr>
          <w:rFonts w:hint="eastAsia" w:ascii="仿宋_GB2312" w:hAnsi="仿宋_GB2312" w:eastAsia="仿宋_GB2312" w:cs="仿宋_GB2312"/>
          <w:highlight w:val="none"/>
          <w:lang w:eastAsia="zh-CN"/>
        </w:rPr>
        <w:t>失信被执行人、重大税收违法失信主体名单、严重失信主体名单</w:t>
      </w:r>
      <w:r>
        <w:rPr>
          <w:rFonts w:ascii="仿宋_GB2312" w:hAnsi="仿宋_GB2312" w:eastAsia="仿宋_GB2312" w:cs="仿宋_GB2312"/>
          <w:highlight w:val="none"/>
        </w:rPr>
        <w:t>及其他重大违法记录且相关信用惩戒期限未满的，其资格审查不合格。</w:t>
      </w:r>
    </w:p>
    <w:p w14:paraId="0FE6DA61">
      <w:pPr>
        <w:pStyle w:val="11"/>
        <w:spacing w:line="360" w:lineRule="auto"/>
        <w:ind w:firstLine="480"/>
        <w:jc w:val="left"/>
        <w:rPr>
          <w:highlight w:val="none"/>
        </w:rPr>
      </w:pPr>
      <w:r>
        <w:rPr>
          <w:rFonts w:ascii="仿宋_GB2312" w:hAnsi="仿宋_GB2312" w:eastAsia="仿宋_GB2312" w:cs="仿宋_GB2312"/>
          <w:highlight w:val="none"/>
        </w:rPr>
        <w:t xml:space="preserve"> 3、供应商应了解</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自身的信用记录情况。当供应商受到200万以上罚款的行政处罚且该罚款不属较大数额罚款时，供应商应在</w:t>
      </w:r>
      <w:r>
        <w:rPr>
          <w:rFonts w:hint="eastAsia" w:ascii="仿宋_GB2312" w:hAnsi="仿宋_GB2312" w:eastAsia="仿宋_GB2312" w:cs="仿宋_GB2312"/>
          <w:highlight w:val="none"/>
          <w:lang w:val="en-US" w:eastAsia="zh-CN"/>
        </w:rPr>
        <w:t>响应文件</w:t>
      </w:r>
      <w:r>
        <w:rPr>
          <w:rFonts w:ascii="仿宋_GB2312" w:hAnsi="仿宋_GB2312" w:eastAsia="仿宋_GB2312" w:cs="仿宋_GB2312"/>
          <w:highlight w:val="none"/>
        </w:rPr>
        <w:t>中提供此项罚款不属于较大数额罚款的依据（如提供：相关法律制度的规定、行政执法机构对该罚款不属于较大数额罚款的认定或者其他有效依据）。</w:t>
      </w:r>
    </w:p>
    <w:p w14:paraId="631E2F40">
      <w:pPr>
        <w:pStyle w:val="11"/>
        <w:spacing w:line="360" w:lineRule="auto"/>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88DACBE">
      <w:pPr>
        <w:pStyle w:val="11"/>
        <w:jc w:val="center"/>
        <w:outlineLvl w:val="2"/>
        <w:rPr>
          <w:highlight w:val="none"/>
        </w:rPr>
      </w:pPr>
      <w:r>
        <w:rPr>
          <w:rFonts w:ascii="仿宋_GB2312" w:hAnsi="仿宋_GB2312" w:eastAsia="仿宋_GB2312" w:cs="仿宋_GB2312"/>
          <w:b/>
          <w:sz w:val="28"/>
          <w:highlight w:val="none"/>
        </w:rPr>
        <w:t>5、技术要求响应表</w:t>
      </w:r>
    </w:p>
    <w:p w14:paraId="37529F5B">
      <w:pPr>
        <w:pStyle w:val="11"/>
        <w:spacing w:line="360" w:lineRule="auto"/>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xml:space="preserve">               </w:t>
      </w:r>
    </w:p>
    <w:tbl>
      <w:tblPr>
        <w:tblStyle w:val="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14:paraId="1DEA1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2AE5A0">
            <w:pPr>
              <w:pStyle w:val="11"/>
              <w:spacing w:line="360" w:lineRule="auto"/>
              <w:jc w:val="center"/>
              <w:rPr>
                <w:highlight w:val="none"/>
              </w:rPr>
            </w:pPr>
            <w:r>
              <w:rPr>
                <w:rFonts w:ascii="仿宋_GB2312" w:hAnsi="仿宋_GB2312" w:eastAsia="仿宋_GB2312" w:cs="仿宋_GB2312"/>
                <w:highlight w:val="none"/>
              </w:rPr>
              <w:t>采购包</w:t>
            </w:r>
          </w:p>
        </w:tc>
        <w:tc>
          <w:tcPr>
            <w:tcW w:w="1038" w:type="dxa"/>
          </w:tcPr>
          <w:p w14:paraId="05377F9D">
            <w:pPr>
              <w:pStyle w:val="11"/>
              <w:spacing w:line="360" w:lineRule="auto"/>
              <w:jc w:val="center"/>
              <w:rPr>
                <w:highlight w:val="none"/>
              </w:rPr>
            </w:pPr>
            <w:r>
              <w:rPr>
                <w:rFonts w:hint="eastAsia" w:ascii="仿宋_GB2312" w:hAnsi="仿宋_GB2312" w:eastAsia="仿宋_GB2312" w:cs="仿宋_GB2312"/>
                <w:highlight w:val="none"/>
                <w:lang w:val="en-US" w:eastAsia="zh-CN"/>
              </w:rPr>
              <w:t>序</w:t>
            </w:r>
            <w:r>
              <w:rPr>
                <w:rFonts w:ascii="仿宋_GB2312" w:hAnsi="仿宋_GB2312" w:eastAsia="仿宋_GB2312" w:cs="仿宋_GB2312"/>
                <w:highlight w:val="none"/>
              </w:rPr>
              <w:t>号</w:t>
            </w:r>
          </w:p>
        </w:tc>
        <w:tc>
          <w:tcPr>
            <w:tcW w:w="2076" w:type="dxa"/>
          </w:tcPr>
          <w:p w14:paraId="77E5FF05">
            <w:pPr>
              <w:pStyle w:val="11"/>
              <w:spacing w:line="360" w:lineRule="auto"/>
              <w:jc w:val="center"/>
              <w:rPr>
                <w:highlight w:val="none"/>
              </w:rPr>
            </w:pP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w:t>
            </w:r>
          </w:p>
        </w:tc>
        <w:tc>
          <w:tcPr>
            <w:tcW w:w="2076" w:type="dxa"/>
          </w:tcPr>
          <w:p w14:paraId="0B77D088">
            <w:pPr>
              <w:pStyle w:val="11"/>
              <w:spacing w:line="360" w:lineRule="auto"/>
              <w:jc w:val="center"/>
              <w:rPr>
                <w:highlight w:val="none"/>
              </w:rPr>
            </w:pPr>
            <w:r>
              <w:rPr>
                <w:rFonts w:ascii="仿宋_GB2312" w:hAnsi="仿宋_GB2312" w:eastAsia="仿宋_GB2312" w:cs="仿宋_GB2312"/>
                <w:highlight w:val="none"/>
              </w:rPr>
              <w:t>响应文件应答</w:t>
            </w:r>
          </w:p>
        </w:tc>
        <w:tc>
          <w:tcPr>
            <w:tcW w:w="2076" w:type="dxa"/>
          </w:tcPr>
          <w:p w14:paraId="3994F667">
            <w:pPr>
              <w:pStyle w:val="11"/>
              <w:spacing w:line="360" w:lineRule="auto"/>
              <w:jc w:val="center"/>
              <w:rPr>
                <w:highlight w:val="none"/>
              </w:rPr>
            </w:pPr>
            <w:r>
              <w:rPr>
                <w:rFonts w:ascii="仿宋_GB2312" w:hAnsi="仿宋_GB2312" w:eastAsia="仿宋_GB2312" w:cs="仿宋_GB2312"/>
                <w:highlight w:val="none"/>
              </w:rPr>
              <w:t>是否偏离及说明</w:t>
            </w:r>
          </w:p>
        </w:tc>
      </w:tr>
      <w:tr w14:paraId="4F68C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1E7BA383">
            <w:pPr>
              <w:pStyle w:val="11"/>
              <w:spacing w:line="360" w:lineRule="auto"/>
              <w:jc w:val="left"/>
              <w:rPr>
                <w:highlight w:val="none"/>
              </w:rPr>
            </w:pPr>
            <w:r>
              <w:rPr>
                <w:rFonts w:ascii="仿宋_GB2312" w:hAnsi="仿宋_GB2312" w:eastAsia="仿宋_GB2312" w:cs="仿宋_GB2312"/>
                <w:highlight w:val="none"/>
              </w:rPr>
              <w:t>*</w:t>
            </w:r>
          </w:p>
        </w:tc>
        <w:tc>
          <w:tcPr>
            <w:tcW w:w="1038" w:type="dxa"/>
          </w:tcPr>
          <w:p w14:paraId="31F0E237">
            <w:pPr>
              <w:pStyle w:val="11"/>
              <w:spacing w:line="360" w:lineRule="auto"/>
              <w:jc w:val="left"/>
              <w:rPr>
                <w:highlight w:val="none"/>
              </w:rPr>
            </w:pPr>
            <w:r>
              <w:rPr>
                <w:rFonts w:ascii="仿宋_GB2312" w:hAnsi="仿宋_GB2312" w:eastAsia="仿宋_GB2312" w:cs="仿宋_GB2312"/>
                <w:highlight w:val="none"/>
              </w:rPr>
              <w:t>...</w:t>
            </w:r>
          </w:p>
        </w:tc>
        <w:tc>
          <w:tcPr>
            <w:tcW w:w="2076" w:type="dxa"/>
          </w:tcPr>
          <w:p w14:paraId="1189B7A7">
            <w:pPr>
              <w:pStyle w:val="11"/>
              <w:spacing w:line="360" w:lineRule="auto"/>
              <w:jc w:val="left"/>
              <w:rPr>
                <w:highlight w:val="none"/>
              </w:rPr>
            </w:pPr>
          </w:p>
        </w:tc>
        <w:tc>
          <w:tcPr>
            <w:tcW w:w="2076" w:type="dxa"/>
          </w:tcPr>
          <w:p w14:paraId="53EDAA1E">
            <w:pPr>
              <w:spacing w:line="360" w:lineRule="auto"/>
              <w:rPr>
                <w:highlight w:val="none"/>
              </w:rPr>
            </w:pPr>
          </w:p>
        </w:tc>
        <w:tc>
          <w:tcPr>
            <w:tcW w:w="2076" w:type="dxa"/>
          </w:tcPr>
          <w:p w14:paraId="20C1BDF4">
            <w:pPr>
              <w:spacing w:line="360" w:lineRule="auto"/>
              <w:rPr>
                <w:highlight w:val="none"/>
              </w:rPr>
            </w:pPr>
          </w:p>
        </w:tc>
      </w:tr>
      <w:tr w14:paraId="37C68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0672C0C2">
            <w:pPr>
              <w:spacing w:line="360" w:lineRule="auto"/>
              <w:rPr>
                <w:highlight w:val="none"/>
              </w:rPr>
            </w:pPr>
          </w:p>
        </w:tc>
        <w:tc>
          <w:tcPr>
            <w:tcW w:w="1038" w:type="dxa"/>
          </w:tcPr>
          <w:p w14:paraId="17A4E15B">
            <w:pPr>
              <w:pStyle w:val="11"/>
              <w:spacing w:line="360" w:lineRule="auto"/>
              <w:jc w:val="left"/>
              <w:rPr>
                <w:highlight w:val="none"/>
              </w:rPr>
            </w:pPr>
            <w:bookmarkStart w:id="26" w:name="OLE_LINK17"/>
            <w:r>
              <w:rPr>
                <w:rFonts w:ascii="仿宋_GB2312" w:hAnsi="仿宋_GB2312" w:eastAsia="仿宋_GB2312" w:cs="仿宋_GB2312"/>
                <w:highlight w:val="none"/>
              </w:rPr>
              <w:t>...</w:t>
            </w:r>
            <w:bookmarkEnd w:id="26"/>
          </w:p>
        </w:tc>
        <w:tc>
          <w:tcPr>
            <w:tcW w:w="2076" w:type="dxa"/>
          </w:tcPr>
          <w:p w14:paraId="53A48895">
            <w:pPr>
              <w:spacing w:line="360" w:lineRule="auto"/>
              <w:rPr>
                <w:highlight w:val="none"/>
              </w:rPr>
            </w:pPr>
          </w:p>
        </w:tc>
        <w:tc>
          <w:tcPr>
            <w:tcW w:w="2076" w:type="dxa"/>
          </w:tcPr>
          <w:p w14:paraId="1DC17DC8">
            <w:pPr>
              <w:spacing w:line="360" w:lineRule="auto"/>
              <w:rPr>
                <w:highlight w:val="none"/>
              </w:rPr>
            </w:pPr>
          </w:p>
        </w:tc>
        <w:tc>
          <w:tcPr>
            <w:tcW w:w="2076" w:type="dxa"/>
          </w:tcPr>
          <w:p w14:paraId="1964F027">
            <w:pPr>
              <w:spacing w:line="360" w:lineRule="auto"/>
              <w:rPr>
                <w:highlight w:val="none"/>
              </w:rPr>
            </w:pPr>
          </w:p>
        </w:tc>
      </w:tr>
      <w:tr w14:paraId="48682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2447B1F4">
            <w:pPr>
              <w:pStyle w:val="11"/>
              <w:spacing w:line="360" w:lineRule="auto"/>
              <w:jc w:val="left"/>
              <w:rPr>
                <w:highlight w:val="none"/>
              </w:rPr>
            </w:pPr>
            <w:r>
              <w:rPr>
                <w:rFonts w:ascii="仿宋_GB2312" w:hAnsi="仿宋_GB2312" w:eastAsia="仿宋_GB2312" w:cs="仿宋_GB2312"/>
                <w:highlight w:val="none"/>
              </w:rPr>
              <w:t>...</w:t>
            </w:r>
          </w:p>
        </w:tc>
        <w:tc>
          <w:tcPr>
            <w:tcW w:w="1038" w:type="dxa"/>
          </w:tcPr>
          <w:p w14:paraId="4484103C">
            <w:pPr>
              <w:spacing w:line="360" w:lineRule="auto"/>
              <w:rPr>
                <w:highlight w:val="none"/>
              </w:rPr>
            </w:pPr>
          </w:p>
        </w:tc>
        <w:tc>
          <w:tcPr>
            <w:tcW w:w="2076" w:type="dxa"/>
          </w:tcPr>
          <w:p w14:paraId="5D42272F">
            <w:pPr>
              <w:spacing w:line="360" w:lineRule="auto"/>
              <w:rPr>
                <w:highlight w:val="none"/>
              </w:rPr>
            </w:pPr>
          </w:p>
        </w:tc>
        <w:tc>
          <w:tcPr>
            <w:tcW w:w="2076" w:type="dxa"/>
          </w:tcPr>
          <w:p w14:paraId="2718CC50">
            <w:pPr>
              <w:spacing w:line="360" w:lineRule="auto"/>
              <w:rPr>
                <w:highlight w:val="none"/>
              </w:rPr>
            </w:pPr>
          </w:p>
        </w:tc>
        <w:tc>
          <w:tcPr>
            <w:tcW w:w="2076" w:type="dxa"/>
          </w:tcPr>
          <w:p w14:paraId="3C06CFFE">
            <w:pPr>
              <w:spacing w:line="360" w:lineRule="auto"/>
              <w:rPr>
                <w:highlight w:val="none"/>
              </w:rPr>
            </w:pPr>
          </w:p>
        </w:tc>
      </w:tr>
    </w:tbl>
    <w:p w14:paraId="77CBC59B">
      <w:pPr>
        <w:pStyle w:val="11"/>
        <w:spacing w:line="360" w:lineRule="auto"/>
        <w:ind w:firstLine="480"/>
        <w:jc w:val="left"/>
        <w:rPr>
          <w:highlight w:val="none"/>
        </w:rPr>
      </w:pPr>
      <w:r>
        <w:rPr>
          <w:rFonts w:ascii="仿宋_GB2312" w:hAnsi="仿宋_GB2312" w:eastAsia="仿宋_GB2312" w:cs="仿宋_GB2312"/>
          <w:highlight w:val="none"/>
        </w:rPr>
        <w:t>※注意：</w:t>
      </w:r>
    </w:p>
    <w:p w14:paraId="2BB20AAF">
      <w:pPr>
        <w:pStyle w:val="11"/>
        <w:spacing w:line="360" w:lineRule="auto"/>
        <w:ind w:firstLine="480"/>
        <w:jc w:val="left"/>
        <w:rPr>
          <w:highlight w:val="none"/>
        </w:rPr>
      </w:pPr>
      <w:r>
        <w:rPr>
          <w:rFonts w:ascii="仿宋_GB2312" w:hAnsi="仿宋_GB2312" w:eastAsia="仿宋_GB2312" w:cs="仿宋_GB2312"/>
          <w:highlight w:val="none"/>
        </w:rPr>
        <w:t>1、供应商应在“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 “响应文件应答”中按</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第四章的内容逐项详细对应应答。</w:t>
      </w:r>
    </w:p>
    <w:p w14:paraId="42A1B8E9">
      <w:pPr>
        <w:pStyle w:val="11"/>
        <w:spacing w:line="360" w:lineRule="auto"/>
        <w:ind w:firstLine="480"/>
        <w:jc w:val="left"/>
        <w:rPr>
          <w:highlight w:val="none"/>
        </w:rPr>
      </w:pPr>
      <w:r>
        <w:rPr>
          <w:rFonts w:ascii="仿宋_GB2312" w:hAnsi="仿宋_GB2312" w:eastAsia="仿宋_GB2312" w:cs="仿宋_GB2312"/>
          <w:highlight w:val="none"/>
        </w:rPr>
        <w:t>2、对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关于“大于（或小于）等于”等某个区间值范围内的内容，报价响应应填写具体的数值，但技术指标只能以范围作响应的除外。</w:t>
      </w:r>
    </w:p>
    <w:p w14:paraId="5AEF79D3">
      <w:pPr>
        <w:pStyle w:val="11"/>
        <w:spacing w:line="360" w:lineRule="auto"/>
        <w:ind w:firstLine="480"/>
        <w:jc w:val="left"/>
        <w:rPr>
          <w:highlight w:val="none"/>
        </w:rPr>
      </w:pPr>
      <w:r>
        <w:rPr>
          <w:rFonts w:ascii="仿宋_GB2312" w:hAnsi="仿宋_GB2312" w:eastAsia="仿宋_GB2312" w:cs="仿宋_GB2312"/>
          <w:highlight w:val="none"/>
        </w:rPr>
        <w:t>3、“是否偏离及说明”项下应按下列规定填写：优于的，填写“正偏离”；符合的，填写“无偏离”；低于的，填写“负偏离”。</w:t>
      </w:r>
    </w:p>
    <w:p w14:paraId="2DEE7D4A">
      <w:pPr>
        <w:pStyle w:val="11"/>
        <w:spacing w:line="360" w:lineRule="auto"/>
        <w:ind w:firstLine="480"/>
        <w:jc w:val="left"/>
        <w:rPr>
          <w:highlight w:val="none"/>
        </w:rPr>
      </w:pPr>
      <w:r>
        <w:rPr>
          <w:rFonts w:ascii="仿宋_GB2312" w:hAnsi="仿宋_GB2312" w:eastAsia="仿宋_GB2312" w:cs="仿宋_GB2312"/>
          <w:highlight w:val="none"/>
        </w:rPr>
        <w:t>4、若需要说明的内容因</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中的格式特殊或需特殊表达的，可另页应答。</w:t>
      </w:r>
      <w:r>
        <w:rPr>
          <w:highlight w:val="none"/>
        </w:rPr>
        <w:br w:type="textWrapping"/>
      </w:r>
      <w:r>
        <w:rPr>
          <w:highlight w:val="none"/>
        </w:rPr>
        <w:br w:type="textWrapping"/>
      </w:r>
    </w:p>
    <w:p w14:paraId="0650E8F2">
      <w:pPr>
        <w:pStyle w:val="11"/>
        <w:spacing w:line="360" w:lineRule="auto"/>
        <w:ind w:firstLine="480"/>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1ED96753">
      <w:pPr>
        <w:pStyle w:val="11"/>
        <w:spacing w:line="360" w:lineRule="auto"/>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7FD88D50">
      <w:pPr>
        <w:pStyle w:val="11"/>
        <w:spacing w:line="360" w:lineRule="auto"/>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r>
        <w:rPr>
          <w:highlight w:val="none"/>
        </w:rPr>
        <w:br w:type="textWrapping"/>
      </w:r>
      <w:r>
        <w:rPr>
          <w:highlight w:val="none"/>
        </w:rPr>
        <w:br w:type="textWrapping"/>
      </w:r>
    </w:p>
    <w:p w14:paraId="51F65DCC">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38D75EB">
      <w:pPr>
        <w:pStyle w:val="11"/>
        <w:jc w:val="center"/>
        <w:outlineLvl w:val="2"/>
        <w:rPr>
          <w:highlight w:val="none"/>
        </w:rPr>
      </w:pPr>
      <w:r>
        <w:rPr>
          <w:rFonts w:ascii="仿宋_GB2312" w:hAnsi="仿宋_GB2312" w:eastAsia="仿宋_GB2312" w:cs="仿宋_GB2312"/>
          <w:b/>
          <w:sz w:val="28"/>
          <w:highlight w:val="none"/>
        </w:rPr>
        <w:t>6、商务条件响应表</w:t>
      </w:r>
    </w:p>
    <w:p w14:paraId="3C410453">
      <w:pPr>
        <w:pStyle w:val="11"/>
        <w:spacing w:line="360" w:lineRule="auto"/>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xml:space="preserve">               </w:t>
      </w:r>
    </w:p>
    <w:tbl>
      <w:tblPr>
        <w:tblStyle w:val="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14:paraId="33109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AFD444">
            <w:pPr>
              <w:pStyle w:val="11"/>
              <w:spacing w:line="360" w:lineRule="auto"/>
              <w:jc w:val="center"/>
              <w:rPr>
                <w:highlight w:val="none"/>
              </w:rPr>
            </w:pPr>
            <w:r>
              <w:rPr>
                <w:rFonts w:ascii="仿宋_GB2312" w:hAnsi="仿宋_GB2312" w:eastAsia="仿宋_GB2312" w:cs="仿宋_GB2312"/>
                <w:highlight w:val="none"/>
              </w:rPr>
              <w:t>采购包</w:t>
            </w:r>
          </w:p>
        </w:tc>
        <w:tc>
          <w:tcPr>
            <w:tcW w:w="1038" w:type="dxa"/>
          </w:tcPr>
          <w:p w14:paraId="36273460">
            <w:pPr>
              <w:pStyle w:val="11"/>
              <w:spacing w:line="360" w:lineRule="auto"/>
              <w:jc w:val="center"/>
              <w:rPr>
                <w:highlight w:val="none"/>
              </w:rPr>
            </w:pPr>
            <w:r>
              <w:rPr>
                <w:rFonts w:hint="eastAsia" w:ascii="仿宋_GB2312" w:hAnsi="仿宋_GB2312" w:eastAsia="仿宋_GB2312" w:cs="仿宋_GB2312"/>
                <w:highlight w:val="none"/>
                <w:lang w:val="en-US" w:eastAsia="zh-CN"/>
              </w:rPr>
              <w:t>序</w:t>
            </w:r>
            <w:r>
              <w:rPr>
                <w:rFonts w:ascii="仿宋_GB2312" w:hAnsi="仿宋_GB2312" w:eastAsia="仿宋_GB2312" w:cs="仿宋_GB2312"/>
                <w:highlight w:val="none"/>
              </w:rPr>
              <w:t>号</w:t>
            </w:r>
          </w:p>
        </w:tc>
        <w:tc>
          <w:tcPr>
            <w:tcW w:w="2076" w:type="dxa"/>
          </w:tcPr>
          <w:p w14:paraId="54FF89CC">
            <w:pPr>
              <w:pStyle w:val="11"/>
              <w:spacing w:line="360" w:lineRule="auto"/>
              <w:jc w:val="center"/>
              <w:rPr>
                <w:highlight w:val="none"/>
              </w:rPr>
            </w:pP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w:t>
            </w:r>
          </w:p>
        </w:tc>
        <w:tc>
          <w:tcPr>
            <w:tcW w:w="2076" w:type="dxa"/>
          </w:tcPr>
          <w:p w14:paraId="2D8632B9">
            <w:pPr>
              <w:pStyle w:val="11"/>
              <w:spacing w:line="360" w:lineRule="auto"/>
              <w:jc w:val="center"/>
              <w:rPr>
                <w:highlight w:val="none"/>
              </w:rPr>
            </w:pPr>
            <w:r>
              <w:rPr>
                <w:rFonts w:ascii="仿宋_GB2312" w:hAnsi="仿宋_GB2312" w:eastAsia="仿宋_GB2312" w:cs="仿宋_GB2312"/>
                <w:highlight w:val="none"/>
              </w:rPr>
              <w:t>响应文件应答</w:t>
            </w:r>
          </w:p>
        </w:tc>
        <w:tc>
          <w:tcPr>
            <w:tcW w:w="2076" w:type="dxa"/>
          </w:tcPr>
          <w:p w14:paraId="747FCE61">
            <w:pPr>
              <w:pStyle w:val="11"/>
              <w:spacing w:line="360" w:lineRule="auto"/>
              <w:jc w:val="center"/>
              <w:rPr>
                <w:highlight w:val="none"/>
              </w:rPr>
            </w:pPr>
            <w:r>
              <w:rPr>
                <w:rFonts w:ascii="仿宋_GB2312" w:hAnsi="仿宋_GB2312" w:eastAsia="仿宋_GB2312" w:cs="仿宋_GB2312"/>
                <w:highlight w:val="none"/>
              </w:rPr>
              <w:t>是否偏离及说明</w:t>
            </w:r>
          </w:p>
        </w:tc>
      </w:tr>
      <w:tr w14:paraId="06C2C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36C4EB28">
            <w:pPr>
              <w:pStyle w:val="11"/>
              <w:spacing w:line="360" w:lineRule="auto"/>
              <w:jc w:val="left"/>
              <w:rPr>
                <w:highlight w:val="none"/>
              </w:rPr>
            </w:pPr>
            <w:r>
              <w:rPr>
                <w:rFonts w:ascii="仿宋_GB2312" w:hAnsi="仿宋_GB2312" w:eastAsia="仿宋_GB2312" w:cs="仿宋_GB2312"/>
                <w:highlight w:val="none"/>
              </w:rPr>
              <w:t>*</w:t>
            </w:r>
          </w:p>
        </w:tc>
        <w:tc>
          <w:tcPr>
            <w:tcW w:w="1038" w:type="dxa"/>
          </w:tcPr>
          <w:p w14:paraId="7263B010">
            <w:pPr>
              <w:pStyle w:val="11"/>
              <w:spacing w:line="360" w:lineRule="auto"/>
              <w:jc w:val="left"/>
              <w:rPr>
                <w:highlight w:val="none"/>
              </w:rPr>
            </w:pPr>
            <w:r>
              <w:rPr>
                <w:rFonts w:ascii="仿宋_GB2312" w:hAnsi="仿宋_GB2312" w:eastAsia="仿宋_GB2312" w:cs="仿宋_GB2312"/>
                <w:highlight w:val="none"/>
              </w:rPr>
              <w:t>...</w:t>
            </w:r>
          </w:p>
        </w:tc>
        <w:tc>
          <w:tcPr>
            <w:tcW w:w="2076" w:type="dxa"/>
          </w:tcPr>
          <w:p w14:paraId="6D5FB25D">
            <w:pPr>
              <w:pStyle w:val="11"/>
              <w:spacing w:line="360" w:lineRule="auto"/>
              <w:jc w:val="left"/>
              <w:rPr>
                <w:highlight w:val="none"/>
              </w:rPr>
            </w:pPr>
          </w:p>
        </w:tc>
        <w:tc>
          <w:tcPr>
            <w:tcW w:w="2076" w:type="dxa"/>
          </w:tcPr>
          <w:p w14:paraId="5B5BFEF0">
            <w:pPr>
              <w:spacing w:line="360" w:lineRule="auto"/>
              <w:rPr>
                <w:highlight w:val="none"/>
              </w:rPr>
            </w:pPr>
          </w:p>
        </w:tc>
        <w:tc>
          <w:tcPr>
            <w:tcW w:w="2076" w:type="dxa"/>
          </w:tcPr>
          <w:p w14:paraId="470A6B67">
            <w:pPr>
              <w:spacing w:line="360" w:lineRule="auto"/>
              <w:rPr>
                <w:highlight w:val="none"/>
              </w:rPr>
            </w:pPr>
          </w:p>
        </w:tc>
      </w:tr>
      <w:tr w14:paraId="69844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11E986D">
            <w:pPr>
              <w:spacing w:line="360" w:lineRule="auto"/>
              <w:rPr>
                <w:highlight w:val="none"/>
              </w:rPr>
            </w:pPr>
          </w:p>
        </w:tc>
        <w:tc>
          <w:tcPr>
            <w:tcW w:w="1038" w:type="dxa"/>
          </w:tcPr>
          <w:p w14:paraId="0862AF75">
            <w:pPr>
              <w:pStyle w:val="11"/>
              <w:spacing w:line="360" w:lineRule="auto"/>
              <w:jc w:val="left"/>
              <w:rPr>
                <w:highlight w:val="none"/>
              </w:rPr>
            </w:pPr>
            <w:bookmarkStart w:id="27" w:name="OLE_LINK18"/>
            <w:r>
              <w:rPr>
                <w:rFonts w:ascii="仿宋_GB2312" w:hAnsi="仿宋_GB2312" w:eastAsia="仿宋_GB2312" w:cs="仿宋_GB2312"/>
                <w:highlight w:val="none"/>
              </w:rPr>
              <w:t>...</w:t>
            </w:r>
            <w:bookmarkEnd w:id="27"/>
          </w:p>
        </w:tc>
        <w:tc>
          <w:tcPr>
            <w:tcW w:w="2076" w:type="dxa"/>
          </w:tcPr>
          <w:p w14:paraId="61CDB367">
            <w:pPr>
              <w:spacing w:line="360" w:lineRule="auto"/>
              <w:rPr>
                <w:highlight w:val="none"/>
              </w:rPr>
            </w:pPr>
          </w:p>
        </w:tc>
        <w:tc>
          <w:tcPr>
            <w:tcW w:w="2076" w:type="dxa"/>
          </w:tcPr>
          <w:p w14:paraId="6F7E9364">
            <w:pPr>
              <w:spacing w:line="360" w:lineRule="auto"/>
              <w:rPr>
                <w:highlight w:val="none"/>
              </w:rPr>
            </w:pPr>
          </w:p>
        </w:tc>
        <w:tc>
          <w:tcPr>
            <w:tcW w:w="2076" w:type="dxa"/>
          </w:tcPr>
          <w:p w14:paraId="55597DB9">
            <w:pPr>
              <w:spacing w:line="360" w:lineRule="auto"/>
              <w:rPr>
                <w:highlight w:val="none"/>
              </w:rPr>
            </w:pPr>
          </w:p>
        </w:tc>
      </w:tr>
      <w:tr w14:paraId="066DC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69FC5729">
            <w:pPr>
              <w:pStyle w:val="11"/>
              <w:spacing w:line="360" w:lineRule="auto"/>
              <w:jc w:val="left"/>
              <w:rPr>
                <w:highlight w:val="none"/>
              </w:rPr>
            </w:pPr>
            <w:r>
              <w:rPr>
                <w:rFonts w:ascii="仿宋_GB2312" w:hAnsi="仿宋_GB2312" w:eastAsia="仿宋_GB2312" w:cs="仿宋_GB2312"/>
                <w:highlight w:val="none"/>
              </w:rPr>
              <w:t>...</w:t>
            </w:r>
          </w:p>
        </w:tc>
        <w:tc>
          <w:tcPr>
            <w:tcW w:w="1038" w:type="dxa"/>
          </w:tcPr>
          <w:p w14:paraId="1D6A0835">
            <w:pPr>
              <w:spacing w:line="360" w:lineRule="auto"/>
              <w:rPr>
                <w:highlight w:val="none"/>
              </w:rPr>
            </w:pPr>
          </w:p>
        </w:tc>
        <w:tc>
          <w:tcPr>
            <w:tcW w:w="2076" w:type="dxa"/>
          </w:tcPr>
          <w:p w14:paraId="20C5B07A">
            <w:pPr>
              <w:spacing w:line="360" w:lineRule="auto"/>
              <w:rPr>
                <w:highlight w:val="none"/>
              </w:rPr>
            </w:pPr>
          </w:p>
        </w:tc>
        <w:tc>
          <w:tcPr>
            <w:tcW w:w="2076" w:type="dxa"/>
          </w:tcPr>
          <w:p w14:paraId="023D656D">
            <w:pPr>
              <w:spacing w:line="360" w:lineRule="auto"/>
              <w:rPr>
                <w:highlight w:val="none"/>
              </w:rPr>
            </w:pPr>
          </w:p>
        </w:tc>
        <w:tc>
          <w:tcPr>
            <w:tcW w:w="2076" w:type="dxa"/>
          </w:tcPr>
          <w:p w14:paraId="7183CF5A">
            <w:pPr>
              <w:spacing w:line="360" w:lineRule="auto"/>
              <w:rPr>
                <w:highlight w:val="none"/>
              </w:rPr>
            </w:pPr>
          </w:p>
        </w:tc>
      </w:tr>
    </w:tbl>
    <w:p w14:paraId="72C37644">
      <w:pPr>
        <w:pStyle w:val="11"/>
        <w:spacing w:line="360" w:lineRule="auto"/>
        <w:ind w:firstLine="480"/>
        <w:jc w:val="left"/>
        <w:rPr>
          <w:highlight w:val="none"/>
        </w:rPr>
      </w:pPr>
      <w:r>
        <w:rPr>
          <w:rFonts w:ascii="仿宋_GB2312" w:hAnsi="仿宋_GB2312" w:eastAsia="仿宋_GB2312" w:cs="仿宋_GB2312"/>
          <w:highlight w:val="none"/>
        </w:rPr>
        <w:t>※注意：</w:t>
      </w:r>
    </w:p>
    <w:p w14:paraId="58AF5276">
      <w:pPr>
        <w:pStyle w:val="11"/>
        <w:spacing w:line="360" w:lineRule="auto"/>
        <w:ind w:firstLine="480"/>
        <w:jc w:val="left"/>
        <w:rPr>
          <w:highlight w:val="none"/>
        </w:rPr>
      </w:pPr>
      <w:r>
        <w:rPr>
          <w:rFonts w:ascii="仿宋_GB2312" w:hAnsi="仿宋_GB2312" w:eastAsia="仿宋_GB2312" w:cs="仿宋_GB2312"/>
          <w:highlight w:val="none"/>
        </w:rPr>
        <w:t>1、供应商应在“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 “响应文件应答”中按</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第四章的内容逐项详细对应应答。</w:t>
      </w:r>
    </w:p>
    <w:p w14:paraId="7CE0F86C">
      <w:pPr>
        <w:pStyle w:val="11"/>
        <w:spacing w:line="360" w:lineRule="auto"/>
        <w:ind w:firstLine="480"/>
        <w:jc w:val="left"/>
        <w:rPr>
          <w:highlight w:val="none"/>
        </w:rPr>
      </w:pPr>
      <w:r>
        <w:rPr>
          <w:rFonts w:ascii="仿宋_GB2312" w:hAnsi="仿宋_GB2312" w:eastAsia="仿宋_GB2312" w:cs="仿宋_GB2312"/>
          <w:highlight w:val="none"/>
        </w:rPr>
        <w:t>2、对</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关于“大于（或小于）等于”等某个区间值范围内的内容，报价响应应填写具体的数值。</w:t>
      </w:r>
    </w:p>
    <w:p w14:paraId="7A7B88A6">
      <w:pPr>
        <w:pStyle w:val="11"/>
        <w:spacing w:line="360" w:lineRule="auto"/>
        <w:ind w:firstLine="480"/>
        <w:jc w:val="left"/>
        <w:rPr>
          <w:highlight w:val="none"/>
        </w:rPr>
      </w:pPr>
      <w:r>
        <w:rPr>
          <w:rFonts w:ascii="仿宋_GB2312" w:hAnsi="仿宋_GB2312" w:eastAsia="仿宋_GB2312" w:cs="仿宋_GB2312"/>
          <w:highlight w:val="none"/>
        </w:rPr>
        <w:t>3“是否偏离及说明”项下应按下列规定填写：优于的，填写“正偏离”；符合的，填写“无偏离”；低于的，填写“负偏离”。</w:t>
      </w:r>
    </w:p>
    <w:p w14:paraId="60B59542">
      <w:pPr>
        <w:pStyle w:val="11"/>
        <w:spacing w:line="360" w:lineRule="auto"/>
        <w:ind w:firstLine="480"/>
        <w:jc w:val="left"/>
        <w:rPr>
          <w:highlight w:val="none"/>
        </w:rPr>
      </w:pPr>
      <w:r>
        <w:rPr>
          <w:rFonts w:ascii="仿宋_GB2312" w:hAnsi="仿宋_GB2312" w:eastAsia="仿宋_GB2312" w:cs="仿宋_GB2312"/>
          <w:highlight w:val="none"/>
        </w:rPr>
        <w:t>4、若需要说明的内容因</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中的格式特殊或需特殊表达的，可另页应答。</w:t>
      </w:r>
      <w:r>
        <w:rPr>
          <w:highlight w:val="none"/>
        </w:rPr>
        <w:br w:type="textWrapping"/>
      </w:r>
      <w:r>
        <w:rPr>
          <w:highlight w:val="none"/>
        </w:rPr>
        <w:br w:type="textWrapping"/>
      </w:r>
    </w:p>
    <w:p w14:paraId="01DFF1FC">
      <w:pPr>
        <w:pStyle w:val="11"/>
        <w:spacing w:line="360" w:lineRule="auto"/>
        <w:ind w:firstLine="480"/>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1512D100">
      <w:pPr>
        <w:pStyle w:val="11"/>
        <w:spacing w:line="360" w:lineRule="auto"/>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0C22EA6C">
      <w:pPr>
        <w:pStyle w:val="11"/>
        <w:spacing w:line="360" w:lineRule="auto"/>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r>
        <w:rPr>
          <w:highlight w:val="none"/>
        </w:rPr>
        <w:br w:type="textWrapping"/>
      </w:r>
      <w:r>
        <w:rPr>
          <w:highlight w:val="none"/>
        </w:rPr>
        <w:br w:type="textWrapping"/>
      </w:r>
    </w:p>
    <w:p w14:paraId="6D70AFDA">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533DF6A">
      <w:pPr>
        <w:pStyle w:val="11"/>
        <w:jc w:val="center"/>
        <w:outlineLvl w:val="2"/>
        <w:rPr>
          <w:highlight w:val="none"/>
        </w:rPr>
      </w:pPr>
      <w:r>
        <w:rPr>
          <w:rFonts w:ascii="仿宋_GB2312" w:hAnsi="仿宋_GB2312" w:eastAsia="仿宋_GB2312" w:cs="仿宋_GB2312"/>
          <w:b/>
          <w:sz w:val="28"/>
          <w:highlight w:val="none"/>
        </w:rPr>
        <w:t>7、相关技术、商务、服务响应承诺及资料</w:t>
      </w:r>
    </w:p>
    <w:p w14:paraId="639A4517">
      <w:pPr>
        <w:pStyle w:val="11"/>
        <w:spacing w:line="360" w:lineRule="auto"/>
        <w:ind w:firstLine="480"/>
        <w:jc w:val="left"/>
        <w:rPr>
          <w:highlight w:val="none"/>
        </w:rPr>
      </w:pPr>
      <w:r>
        <w:rPr>
          <w:rFonts w:ascii="仿宋_GB2312" w:hAnsi="仿宋_GB2312" w:eastAsia="仿宋_GB2312" w:cs="仿宋_GB2312"/>
          <w:highlight w:val="none"/>
        </w:rPr>
        <w:t>说明：</w:t>
      </w:r>
    </w:p>
    <w:p w14:paraId="380F1462">
      <w:pPr>
        <w:pStyle w:val="11"/>
        <w:spacing w:line="360" w:lineRule="auto"/>
        <w:ind w:firstLine="480"/>
        <w:jc w:val="left"/>
        <w:rPr>
          <w:highlight w:val="none"/>
        </w:rPr>
      </w:pPr>
      <w:r>
        <w:rPr>
          <w:rFonts w:ascii="仿宋_GB2312" w:hAnsi="仿宋_GB2312" w:eastAsia="仿宋_GB2312" w:cs="仿宋_GB2312"/>
          <w:highlight w:val="none"/>
        </w:rPr>
        <w:t>1.采购人或采购代理机构可以根据项目的特点和需要，在</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文件中对供应商需要提供的相关技术、商务、服务响应承诺及资料进行具体规定或附表格式，供应商应按照</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文件要求提供相关承诺及材料，并加盖供应商单位公章。</w:t>
      </w:r>
    </w:p>
    <w:p w14:paraId="61B36B48">
      <w:pPr>
        <w:pStyle w:val="11"/>
        <w:spacing w:line="360" w:lineRule="auto"/>
        <w:ind w:firstLine="480"/>
        <w:jc w:val="left"/>
        <w:rPr>
          <w:highlight w:val="none"/>
        </w:rPr>
      </w:pPr>
      <w:r>
        <w:rPr>
          <w:rFonts w:ascii="仿宋_GB2312" w:hAnsi="仿宋_GB2312" w:eastAsia="仿宋_GB2312" w:cs="仿宋_GB2312"/>
          <w:highlight w:val="none"/>
        </w:rPr>
        <w:t>2.如果没有特别要求的，供应商根据</w:t>
      </w:r>
      <w:r>
        <w:rPr>
          <w:rFonts w:hint="eastAsia" w:ascii="仿宋_GB2312" w:hAnsi="仿宋_GB2312" w:eastAsia="仿宋_GB2312" w:cs="仿宋_GB2312"/>
          <w:highlight w:val="none"/>
          <w:lang w:val="en-US" w:eastAsia="zh-CN"/>
        </w:rPr>
        <w:t>询比</w:t>
      </w:r>
      <w:r>
        <w:rPr>
          <w:rFonts w:ascii="仿宋_GB2312" w:hAnsi="仿宋_GB2312" w:eastAsia="仿宋_GB2312" w:cs="仿宋_GB2312"/>
          <w:highlight w:val="none"/>
        </w:rPr>
        <w:t>文件的要求以及特点，提供相关技术、商务、服务响应承诺及资料，格式自拟。</w:t>
      </w:r>
      <w:r>
        <w:rPr>
          <w:highlight w:val="none"/>
        </w:rPr>
        <w:br w:type="textWrapping"/>
      </w:r>
      <w:r>
        <w:rPr>
          <w:highlight w:val="none"/>
        </w:rPr>
        <w:br w:type="textWrapping"/>
      </w:r>
      <w:r>
        <w:rPr>
          <w:highlight w:val="none"/>
        </w:rPr>
        <w:br w:type="textWrapping"/>
      </w:r>
      <w:r>
        <w:rPr>
          <w:highlight w:val="none"/>
        </w:rPr>
        <w:br w:type="textWrapping"/>
      </w:r>
    </w:p>
    <w:p w14:paraId="7D11F5D3">
      <w:pPr>
        <w:pStyle w:val="11"/>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　　　　　（签字）</w:t>
      </w:r>
    </w:p>
    <w:p w14:paraId="251EB10B">
      <w:pPr>
        <w:pStyle w:val="11"/>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　　　　　（全称并加盖公章）　　　　　</w:t>
      </w:r>
    </w:p>
    <w:p w14:paraId="24B7FB3C">
      <w:pPr>
        <w:pStyle w:val="11"/>
        <w:ind w:firstLine="480"/>
        <w:jc w:val="left"/>
        <w:rPr>
          <w:rFonts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w:t>
      </w:r>
      <w:r>
        <w:rPr>
          <w:rFonts w:ascii="仿宋_GB2312" w:hAnsi="仿宋_GB2312" w:eastAsia="仿宋_GB2312" w:cs="仿宋_GB2312"/>
          <w:highlight w:val="none"/>
        </w:rPr>
        <w:t>年</w:t>
      </w:r>
      <w:r>
        <w:rPr>
          <w:rFonts w:ascii="仿宋_GB2312" w:hAnsi="仿宋_GB2312" w:eastAsia="仿宋_GB2312" w:cs="仿宋_GB2312"/>
          <w:highlight w:val="none"/>
          <w:u w:val="single"/>
        </w:rPr>
        <w:t>　　　</w:t>
      </w:r>
      <w:r>
        <w:rPr>
          <w:rFonts w:ascii="仿宋_GB2312" w:hAnsi="仿宋_GB2312" w:eastAsia="仿宋_GB2312" w:cs="仿宋_GB2312"/>
          <w:highlight w:val="none"/>
        </w:rPr>
        <w:t>月</w:t>
      </w:r>
      <w:r>
        <w:rPr>
          <w:rFonts w:ascii="仿宋_GB2312" w:hAnsi="仿宋_GB2312" w:eastAsia="仿宋_GB2312" w:cs="仿宋_GB2312"/>
          <w:highlight w:val="none"/>
          <w:u w:val="single"/>
        </w:rPr>
        <w:t>　　　</w:t>
      </w:r>
      <w:r>
        <w:rPr>
          <w:rFonts w:ascii="仿宋_GB2312" w:hAnsi="仿宋_GB2312" w:eastAsia="仿宋_GB2312" w:cs="仿宋_GB2312"/>
          <w:highlight w:val="none"/>
        </w:rPr>
        <w:t>日</w:t>
      </w:r>
    </w:p>
    <w:p w14:paraId="6490C96C">
      <w:pPr>
        <w:pStyle w:val="11"/>
        <w:ind w:firstLine="480"/>
        <w:jc w:val="left"/>
        <w:rPr>
          <w:rFonts w:ascii="仿宋_GB2312" w:hAnsi="仿宋_GB2312" w:eastAsia="仿宋_GB2312" w:cs="仿宋_GB2312"/>
          <w:highlight w:val="none"/>
        </w:rPr>
      </w:pPr>
    </w:p>
    <w:p w14:paraId="0997DD59">
      <w:pPr>
        <w:pStyle w:val="11"/>
        <w:ind w:firstLine="480"/>
        <w:jc w:val="left"/>
        <w:rPr>
          <w:rFonts w:ascii="仿宋_GB2312" w:hAnsi="仿宋_GB2312" w:eastAsia="仿宋_GB2312" w:cs="仿宋_GB2312"/>
          <w:highlight w:val="none"/>
        </w:rPr>
      </w:pPr>
    </w:p>
    <w:p w14:paraId="06ABC461">
      <w:pPr>
        <w:pStyle w:val="11"/>
        <w:ind w:firstLine="480"/>
        <w:jc w:val="left"/>
        <w:rPr>
          <w:rFonts w:ascii="仿宋_GB2312" w:hAnsi="仿宋_GB2312" w:eastAsia="仿宋_GB2312" w:cs="仿宋_GB2312"/>
          <w:highlight w:val="none"/>
        </w:rPr>
      </w:pPr>
    </w:p>
    <w:p w14:paraId="6EC7551F">
      <w:pPr>
        <w:pStyle w:val="11"/>
        <w:ind w:firstLine="480"/>
        <w:jc w:val="left"/>
        <w:rPr>
          <w:rFonts w:ascii="仿宋_GB2312" w:hAnsi="仿宋_GB2312" w:eastAsia="仿宋_GB2312" w:cs="仿宋_GB2312"/>
          <w:highlight w:val="none"/>
        </w:rPr>
      </w:pPr>
    </w:p>
    <w:p w14:paraId="3DD9B639">
      <w:pPr>
        <w:pStyle w:val="11"/>
        <w:ind w:firstLine="480"/>
        <w:jc w:val="left"/>
        <w:rPr>
          <w:rFonts w:ascii="仿宋_GB2312" w:hAnsi="仿宋_GB2312" w:eastAsia="仿宋_GB2312" w:cs="仿宋_GB2312"/>
          <w:highlight w:val="none"/>
        </w:rPr>
      </w:pPr>
    </w:p>
    <w:p w14:paraId="421D5A15">
      <w:pPr>
        <w:pStyle w:val="11"/>
        <w:ind w:firstLine="480"/>
        <w:jc w:val="left"/>
        <w:rPr>
          <w:rFonts w:ascii="仿宋_GB2312" w:hAnsi="仿宋_GB2312" w:eastAsia="仿宋_GB2312" w:cs="仿宋_GB2312"/>
          <w:highlight w:val="none"/>
        </w:rPr>
      </w:pPr>
    </w:p>
    <w:p w14:paraId="2B4AB6CD">
      <w:pPr>
        <w:pStyle w:val="11"/>
        <w:ind w:firstLine="480"/>
        <w:jc w:val="left"/>
        <w:rPr>
          <w:rFonts w:ascii="仿宋_GB2312" w:hAnsi="仿宋_GB2312" w:eastAsia="仿宋_GB2312" w:cs="仿宋_GB2312"/>
          <w:highlight w:val="none"/>
        </w:rPr>
      </w:pPr>
    </w:p>
    <w:p w14:paraId="118B9825">
      <w:pPr>
        <w:pStyle w:val="11"/>
        <w:ind w:firstLine="480"/>
        <w:jc w:val="left"/>
        <w:rPr>
          <w:rFonts w:ascii="仿宋_GB2312" w:hAnsi="仿宋_GB2312" w:eastAsia="仿宋_GB2312" w:cs="仿宋_GB2312"/>
          <w:highlight w:val="none"/>
        </w:rPr>
      </w:pPr>
    </w:p>
    <w:p w14:paraId="5160B47D">
      <w:pPr>
        <w:pStyle w:val="11"/>
        <w:ind w:firstLine="480"/>
        <w:jc w:val="left"/>
        <w:rPr>
          <w:rFonts w:ascii="仿宋_GB2312" w:hAnsi="仿宋_GB2312" w:eastAsia="仿宋_GB2312" w:cs="仿宋_GB2312"/>
          <w:highlight w:val="none"/>
        </w:rPr>
      </w:pPr>
    </w:p>
    <w:p w14:paraId="1F3C9D33">
      <w:pPr>
        <w:pStyle w:val="11"/>
        <w:ind w:firstLine="480"/>
        <w:jc w:val="left"/>
        <w:rPr>
          <w:rFonts w:ascii="仿宋_GB2312" w:hAnsi="仿宋_GB2312" w:eastAsia="仿宋_GB2312" w:cs="仿宋_GB2312"/>
          <w:highlight w:val="none"/>
        </w:rPr>
      </w:pPr>
    </w:p>
    <w:p w14:paraId="535202F0">
      <w:pPr>
        <w:pStyle w:val="11"/>
        <w:ind w:firstLine="480"/>
        <w:jc w:val="left"/>
        <w:rPr>
          <w:rFonts w:ascii="仿宋_GB2312" w:hAnsi="仿宋_GB2312" w:eastAsia="仿宋_GB2312" w:cs="仿宋_GB2312"/>
          <w:highlight w:val="none"/>
        </w:rPr>
      </w:pPr>
    </w:p>
    <w:p w14:paraId="18CB6C93">
      <w:pPr>
        <w:pStyle w:val="11"/>
        <w:ind w:firstLine="480"/>
        <w:jc w:val="left"/>
        <w:rPr>
          <w:rFonts w:ascii="仿宋_GB2312" w:hAnsi="仿宋_GB2312" w:eastAsia="仿宋_GB2312" w:cs="仿宋_GB2312"/>
          <w:highlight w:val="none"/>
        </w:rPr>
      </w:pPr>
    </w:p>
    <w:p w14:paraId="1729F61E">
      <w:pPr>
        <w:pStyle w:val="11"/>
        <w:ind w:firstLine="480"/>
        <w:jc w:val="left"/>
        <w:rPr>
          <w:rFonts w:ascii="仿宋_GB2312" w:hAnsi="仿宋_GB2312" w:eastAsia="仿宋_GB2312" w:cs="仿宋_GB2312"/>
          <w:highlight w:val="none"/>
        </w:rPr>
      </w:pPr>
    </w:p>
    <w:p w14:paraId="67FC84EA">
      <w:pPr>
        <w:pStyle w:val="11"/>
        <w:ind w:firstLine="480"/>
        <w:jc w:val="left"/>
        <w:rPr>
          <w:rFonts w:ascii="仿宋_GB2312" w:hAnsi="仿宋_GB2312" w:eastAsia="仿宋_GB2312" w:cs="仿宋_GB2312"/>
          <w:highlight w:val="none"/>
        </w:rPr>
      </w:pPr>
    </w:p>
    <w:p w14:paraId="5A5217F7">
      <w:pPr>
        <w:pStyle w:val="11"/>
        <w:ind w:firstLine="480"/>
        <w:jc w:val="left"/>
        <w:rPr>
          <w:rFonts w:ascii="仿宋_GB2312" w:hAnsi="仿宋_GB2312" w:eastAsia="仿宋_GB2312" w:cs="仿宋_GB2312"/>
          <w:highlight w:val="none"/>
        </w:rPr>
      </w:pPr>
    </w:p>
    <w:p w14:paraId="1BED8415">
      <w:pPr>
        <w:pStyle w:val="11"/>
        <w:ind w:firstLine="480"/>
        <w:jc w:val="left"/>
        <w:rPr>
          <w:rFonts w:ascii="仿宋_GB2312" w:hAnsi="仿宋_GB2312" w:eastAsia="仿宋_GB2312" w:cs="仿宋_GB2312"/>
          <w:highlight w:val="none"/>
        </w:rPr>
      </w:pPr>
    </w:p>
    <w:p w14:paraId="3F4ABA0C">
      <w:pPr>
        <w:pStyle w:val="11"/>
        <w:ind w:firstLine="480"/>
        <w:jc w:val="left"/>
        <w:rPr>
          <w:rFonts w:ascii="仿宋_GB2312" w:hAnsi="仿宋_GB2312" w:eastAsia="仿宋_GB2312" w:cs="仿宋_GB2312"/>
          <w:highlight w:val="none"/>
        </w:rPr>
      </w:pPr>
    </w:p>
    <w:p w14:paraId="5E492C88">
      <w:pPr>
        <w:pStyle w:val="11"/>
        <w:ind w:firstLine="480"/>
        <w:jc w:val="left"/>
        <w:rPr>
          <w:rFonts w:ascii="仿宋_GB2312" w:hAnsi="仿宋_GB2312" w:eastAsia="仿宋_GB2312" w:cs="仿宋_GB2312"/>
          <w:highlight w:val="none"/>
        </w:rPr>
      </w:pPr>
    </w:p>
    <w:p w14:paraId="3A2E31CC">
      <w:pPr>
        <w:pStyle w:val="11"/>
        <w:ind w:firstLine="480"/>
        <w:jc w:val="left"/>
        <w:rPr>
          <w:rFonts w:ascii="仿宋_GB2312" w:hAnsi="仿宋_GB2312" w:eastAsia="仿宋_GB2312" w:cs="仿宋_GB2312"/>
          <w:highlight w:val="none"/>
        </w:rPr>
      </w:pPr>
    </w:p>
    <w:p w14:paraId="2173A9F1">
      <w:pPr>
        <w:pStyle w:val="11"/>
        <w:ind w:firstLine="480"/>
        <w:jc w:val="left"/>
        <w:rPr>
          <w:rFonts w:ascii="仿宋_GB2312" w:hAnsi="仿宋_GB2312" w:eastAsia="仿宋_GB2312" w:cs="仿宋_GB2312"/>
          <w:highlight w:val="none"/>
        </w:rPr>
      </w:pPr>
    </w:p>
    <w:p w14:paraId="1C32B13E">
      <w:pPr>
        <w:pStyle w:val="11"/>
        <w:ind w:firstLine="480"/>
        <w:jc w:val="left"/>
        <w:rPr>
          <w:rFonts w:ascii="仿宋_GB2312" w:hAnsi="仿宋_GB2312" w:eastAsia="仿宋_GB2312" w:cs="仿宋_GB2312"/>
          <w:highlight w:val="none"/>
        </w:rPr>
      </w:pPr>
    </w:p>
    <w:p w14:paraId="10194960">
      <w:pPr>
        <w:pStyle w:val="11"/>
        <w:ind w:firstLine="480"/>
        <w:jc w:val="left"/>
        <w:rPr>
          <w:rFonts w:ascii="仿宋_GB2312" w:hAnsi="仿宋_GB2312" w:eastAsia="仿宋_GB2312" w:cs="仿宋_GB2312"/>
          <w:highlight w:val="none"/>
        </w:rPr>
      </w:pPr>
    </w:p>
    <w:p w14:paraId="740560F8">
      <w:pPr>
        <w:pStyle w:val="11"/>
        <w:ind w:firstLine="480"/>
        <w:jc w:val="left"/>
        <w:rPr>
          <w:rFonts w:ascii="仿宋_GB2312" w:hAnsi="仿宋_GB2312" w:eastAsia="仿宋_GB2312" w:cs="仿宋_GB2312"/>
          <w:highlight w:val="none"/>
        </w:rPr>
      </w:pPr>
    </w:p>
    <w:p w14:paraId="70BD2356">
      <w:pPr>
        <w:pStyle w:val="11"/>
        <w:ind w:firstLine="480"/>
        <w:jc w:val="left"/>
        <w:rPr>
          <w:rFonts w:ascii="仿宋_GB2312" w:hAnsi="仿宋_GB2312" w:eastAsia="仿宋_GB2312" w:cs="仿宋_GB2312"/>
          <w:highlight w:val="none"/>
        </w:rPr>
      </w:pPr>
    </w:p>
    <w:p w14:paraId="107F058E">
      <w:pPr>
        <w:pStyle w:val="11"/>
        <w:rPr>
          <w:highlight w:val="none"/>
        </w:rPr>
      </w:pPr>
    </w:p>
    <w:p w14:paraId="746E6BF6">
      <w:pPr>
        <w:pStyle w:val="11"/>
        <w:jc w:val="center"/>
        <w:outlineLvl w:val="2"/>
        <w:rPr>
          <w:highlight w:val="none"/>
        </w:rPr>
      </w:pPr>
      <w:r>
        <w:rPr>
          <w:rFonts w:ascii="仿宋_GB2312" w:hAnsi="仿宋_GB2312" w:eastAsia="仿宋_GB2312" w:cs="仿宋_GB2312"/>
          <w:b/>
          <w:sz w:val="28"/>
          <w:highlight w:val="none"/>
        </w:rPr>
        <w:t>8、联合体协议（若有）</w:t>
      </w:r>
    </w:p>
    <w:p w14:paraId="3CA34B00">
      <w:pPr>
        <w:pStyle w:val="11"/>
        <w:ind w:firstLine="480"/>
        <w:jc w:val="left"/>
        <w:rPr>
          <w:highlight w:val="none"/>
        </w:rPr>
      </w:pPr>
      <w:r>
        <w:rPr>
          <w:rFonts w:ascii="仿宋_GB2312" w:hAnsi="仿宋_GB2312" w:eastAsia="仿宋_GB2312" w:cs="仿宋_GB2312"/>
          <w:highlight w:val="none"/>
        </w:rPr>
        <w:t xml:space="preserve">致： </w:t>
      </w:r>
      <w:r>
        <w:rPr>
          <w:rFonts w:ascii="仿宋_GB2312" w:hAnsi="仿宋_GB2312" w:eastAsia="仿宋_GB2312" w:cs="仿宋_GB2312"/>
          <w:highlight w:val="none"/>
          <w:u w:val="single"/>
        </w:rPr>
        <w:t xml:space="preserve"> （采购人或采购代理机构）</w:t>
      </w:r>
    </w:p>
    <w:p w14:paraId="5E37799B">
      <w:pPr>
        <w:pStyle w:val="11"/>
        <w:ind w:firstLine="96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项目（项目编号：）的报价。现就联合体参加本项目报价的有关事宜达成下列协议：</w:t>
      </w:r>
    </w:p>
    <w:p w14:paraId="4FAF2A09">
      <w:pPr>
        <w:pStyle w:val="11"/>
        <w:ind w:firstLine="480"/>
        <w:jc w:val="left"/>
        <w:rPr>
          <w:highlight w:val="none"/>
        </w:rPr>
      </w:pPr>
      <w:r>
        <w:rPr>
          <w:rFonts w:ascii="仿宋_GB2312" w:hAnsi="仿宋_GB2312" w:eastAsia="仿宋_GB2312" w:cs="仿宋_GB2312"/>
          <w:highlight w:val="none"/>
        </w:rPr>
        <w:t>一、联合体各方应承担的工作和义务具体如下：</w:t>
      </w:r>
    </w:p>
    <w:p w14:paraId="5F007F5A">
      <w:pPr>
        <w:pStyle w:val="11"/>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（全称）</w:t>
      </w:r>
      <w:r>
        <w:rPr>
          <w:rFonts w:ascii="仿宋_GB2312" w:hAnsi="仿宋_GB2312" w:eastAsia="仿宋_GB2312" w:cs="仿宋_GB2312"/>
          <w:highlight w:val="none"/>
        </w:rPr>
        <w:t>：</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14:paraId="50CA2C40">
      <w:pPr>
        <w:pStyle w:val="11"/>
        <w:ind w:firstLine="480"/>
        <w:jc w:val="left"/>
        <w:rPr>
          <w:highlight w:val="none"/>
        </w:rPr>
      </w:pPr>
      <w:r>
        <w:rPr>
          <w:rFonts w:ascii="仿宋_GB2312" w:hAnsi="仿宋_GB2312" w:eastAsia="仿宋_GB2312" w:cs="仿宋_GB2312"/>
          <w:highlight w:val="none"/>
        </w:rPr>
        <w:t>2、成员方：</w:t>
      </w:r>
    </w:p>
    <w:p w14:paraId="4C137F17">
      <w:pPr>
        <w:pStyle w:val="11"/>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（成员一的全称）</w:t>
      </w:r>
      <w:r>
        <w:rPr>
          <w:rFonts w:ascii="仿宋_GB2312" w:hAnsi="仿宋_GB2312" w:eastAsia="仿宋_GB2312" w:cs="仿宋_GB2312"/>
          <w:highlight w:val="none"/>
        </w:rPr>
        <w:t>：</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14:paraId="6AB8D894">
      <w:pPr>
        <w:pStyle w:val="11"/>
        <w:ind w:firstLine="480"/>
        <w:jc w:val="left"/>
        <w:rPr>
          <w:highlight w:val="none"/>
        </w:rPr>
      </w:pPr>
      <w:r>
        <w:rPr>
          <w:rFonts w:ascii="仿宋_GB2312" w:hAnsi="仿宋_GB2312" w:eastAsia="仿宋_GB2312" w:cs="仿宋_GB2312"/>
          <w:highlight w:val="none"/>
        </w:rPr>
        <w:t>……。</w:t>
      </w:r>
    </w:p>
    <w:p w14:paraId="0DFE7224">
      <w:pPr>
        <w:pStyle w:val="11"/>
        <w:ind w:firstLine="480"/>
        <w:jc w:val="left"/>
        <w:rPr>
          <w:highlight w:val="none"/>
        </w:rPr>
      </w:pPr>
      <w:r>
        <w:rPr>
          <w:rFonts w:ascii="仿宋_GB2312" w:hAnsi="仿宋_GB2312" w:eastAsia="仿宋_GB2312" w:cs="仿宋_GB2312"/>
          <w:highlight w:val="none"/>
        </w:rPr>
        <w:t>二、联合体各方的合同金额占比，具体如下：</w:t>
      </w:r>
    </w:p>
    <w:p w14:paraId="487A4C93">
      <w:pPr>
        <w:pStyle w:val="11"/>
        <w:ind w:firstLine="480"/>
        <w:jc w:val="left"/>
        <w:rPr>
          <w:highlight w:val="none"/>
        </w:rPr>
      </w:pPr>
      <w:r>
        <w:rPr>
          <w:rFonts w:ascii="仿宋_GB2312" w:hAnsi="仿宋_GB2312" w:eastAsia="仿宋_GB2312" w:cs="仿宋_GB2312"/>
          <w:highlight w:val="none"/>
        </w:rPr>
        <w:t>1.牵头方（全称）的合同金额占合同总额的＿%；</w:t>
      </w:r>
    </w:p>
    <w:p w14:paraId="37F53525">
      <w:pPr>
        <w:pStyle w:val="11"/>
        <w:ind w:firstLine="480"/>
        <w:jc w:val="left"/>
        <w:rPr>
          <w:highlight w:val="none"/>
        </w:rPr>
      </w:pPr>
      <w:r>
        <w:rPr>
          <w:rFonts w:ascii="仿宋_GB2312" w:hAnsi="仿宋_GB2312" w:eastAsia="仿宋_GB2312" w:cs="仿宋_GB2312"/>
          <w:highlight w:val="none"/>
        </w:rPr>
        <w:t>2.成员方：</w:t>
      </w:r>
    </w:p>
    <w:p w14:paraId="070665C5">
      <w:pPr>
        <w:pStyle w:val="11"/>
        <w:ind w:firstLine="480"/>
        <w:jc w:val="left"/>
        <w:rPr>
          <w:highlight w:val="none"/>
        </w:rPr>
      </w:pPr>
      <w:r>
        <w:rPr>
          <w:rFonts w:ascii="仿宋_GB2312" w:hAnsi="仿宋_GB2312" w:eastAsia="仿宋_GB2312" w:cs="仿宋_GB2312"/>
          <w:highlight w:val="none"/>
        </w:rPr>
        <w:t>2.1（成员1的全称）的合同金额占合同总额的＿%；</w:t>
      </w:r>
    </w:p>
    <w:p w14:paraId="6D367EE6">
      <w:pPr>
        <w:pStyle w:val="11"/>
        <w:ind w:firstLine="480"/>
        <w:jc w:val="left"/>
        <w:rPr>
          <w:highlight w:val="none"/>
        </w:rPr>
      </w:pPr>
      <w:r>
        <w:rPr>
          <w:rFonts w:ascii="仿宋_GB2312" w:hAnsi="仿宋_GB2312" w:eastAsia="仿宋_GB2312" w:cs="仿宋_GB2312"/>
          <w:highlight w:val="none"/>
        </w:rPr>
        <w:t>......</w:t>
      </w:r>
    </w:p>
    <w:p w14:paraId="5AA03041">
      <w:pPr>
        <w:pStyle w:val="11"/>
        <w:ind w:firstLine="480"/>
        <w:jc w:val="left"/>
        <w:rPr>
          <w:highlight w:val="none"/>
        </w:rPr>
      </w:pPr>
      <w:r>
        <w:rPr>
          <w:rFonts w:ascii="仿宋_GB2312" w:hAnsi="仿宋_GB2312" w:eastAsia="仿宋_GB2312" w:cs="仿宋_GB2312"/>
          <w:highlight w:val="none"/>
        </w:rPr>
        <w:t>三、联合体各方约定由:</w:t>
      </w:r>
    </w:p>
    <w:p w14:paraId="337F7088">
      <w:pPr>
        <w:pStyle w:val="11"/>
        <w:ind w:firstLine="480"/>
        <w:jc w:val="left"/>
        <w:rPr>
          <w:highlight w:val="none"/>
        </w:rPr>
      </w:pPr>
      <w:r>
        <w:rPr>
          <w:rFonts w:ascii="仿宋_GB2312" w:hAnsi="仿宋_GB2312" w:eastAsia="仿宋_GB2312" w:cs="仿宋_GB2312"/>
          <w:highlight w:val="none"/>
        </w:rPr>
        <w:t>1、由（填写“牵头方的全称”）代表联合体办理参加本项目</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的有关事宜（包括但不限于：注册账号、派出</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代表、提交</w:t>
      </w:r>
      <w:r>
        <w:rPr>
          <w:rFonts w:hint="eastAsia" w:ascii="仿宋_GB2312" w:hAnsi="仿宋_GB2312" w:eastAsia="仿宋_GB2312" w:cs="仿宋_GB2312"/>
          <w:highlight w:val="none"/>
          <w:lang w:eastAsia="zh-CN"/>
        </w:rPr>
        <w:t>响应</w:t>
      </w:r>
      <w:r>
        <w:rPr>
          <w:rFonts w:ascii="仿宋_GB2312" w:hAnsi="仿宋_GB2312" w:eastAsia="仿宋_GB2312" w:cs="仿宋_GB2312"/>
          <w:highlight w:val="none"/>
        </w:rPr>
        <w:t>文件及参加</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、谈判、澄清等），在此过程中，</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代表签字的一切文件和处理结果，联合体均予以认可并对此承担责任。</w:t>
      </w:r>
    </w:p>
    <w:p w14:paraId="713200DB">
      <w:pPr>
        <w:pStyle w:val="11"/>
        <w:ind w:firstLine="480"/>
        <w:jc w:val="left"/>
        <w:rPr>
          <w:highlight w:val="none"/>
        </w:rPr>
      </w:pPr>
      <w:r>
        <w:rPr>
          <w:rFonts w:ascii="仿宋_GB2312" w:hAnsi="仿宋_GB2312" w:eastAsia="仿宋_GB2312" w:cs="仿宋_GB2312"/>
          <w:highlight w:val="none"/>
        </w:rPr>
        <w:t>2、联合体各方约定由（填写“牵头方的全称”）代表联合体办理</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保证金事宜。</w:t>
      </w:r>
    </w:p>
    <w:p w14:paraId="7F735CEA">
      <w:pPr>
        <w:pStyle w:val="11"/>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EC4D5D7">
      <w:pPr>
        <w:pStyle w:val="11"/>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四、若中标，牵头方将代表联合体与采购人就合同签订事宜进行协商；若协商一致，则联合体各方将共同与采购人签订采购合同，并就采购合同约定的事项对采购人承担连带责任。</w:t>
      </w:r>
    </w:p>
    <w:p w14:paraId="2FB26386">
      <w:pPr>
        <w:pStyle w:val="11"/>
        <w:ind w:firstLine="480"/>
        <w:jc w:val="left"/>
        <w:rPr>
          <w:highlight w:val="none"/>
        </w:rPr>
      </w:pPr>
      <w:r>
        <w:rPr>
          <w:rFonts w:ascii="仿宋_GB2312" w:hAnsi="仿宋_GB2312" w:eastAsia="仿宋_GB2312" w:cs="仿宋_GB2312"/>
          <w:highlight w:val="none"/>
        </w:rPr>
        <w:t>五、本协议自签署之日起生效，采购合同履行完毕后自动失效。</w:t>
      </w:r>
    </w:p>
    <w:p w14:paraId="34482820">
      <w:pPr>
        <w:pStyle w:val="11"/>
        <w:ind w:firstLine="480"/>
        <w:jc w:val="left"/>
        <w:rPr>
          <w:highlight w:val="none"/>
        </w:rPr>
      </w:pPr>
      <w:r>
        <w:rPr>
          <w:rFonts w:ascii="仿宋_GB2312" w:hAnsi="仿宋_GB2312" w:eastAsia="仿宋_GB2312" w:cs="仿宋_GB2312"/>
          <w:highlight w:val="none"/>
        </w:rPr>
        <w:t>本协议一式（填写具体份数）份，联合体各方各执（填写具体份数）份，</w:t>
      </w:r>
      <w:r>
        <w:rPr>
          <w:rFonts w:hint="eastAsia" w:ascii="仿宋_GB2312" w:hAnsi="仿宋_GB2312" w:eastAsia="仿宋_GB2312" w:cs="仿宋_GB2312"/>
          <w:highlight w:val="none"/>
          <w:lang w:eastAsia="zh-CN"/>
        </w:rPr>
        <w:t>响应</w:t>
      </w:r>
      <w:r>
        <w:rPr>
          <w:rFonts w:ascii="仿宋_GB2312" w:hAnsi="仿宋_GB2312" w:eastAsia="仿宋_GB2312" w:cs="仿宋_GB2312"/>
          <w:highlight w:val="none"/>
        </w:rPr>
        <w:t>文件中提交（填写具体份数）份。。</w:t>
      </w:r>
    </w:p>
    <w:p w14:paraId="4E8B2EAF">
      <w:pPr>
        <w:pStyle w:val="11"/>
        <w:ind w:firstLine="480"/>
        <w:jc w:val="center"/>
        <w:rPr>
          <w:highlight w:val="none"/>
        </w:rPr>
      </w:pPr>
      <w:r>
        <w:rPr>
          <w:rFonts w:ascii="仿宋_GB2312" w:hAnsi="仿宋_GB2312" w:eastAsia="仿宋_GB2312" w:cs="仿宋_GB2312"/>
          <w:highlight w:val="none"/>
        </w:rPr>
        <w:t>（以下无正文）</w:t>
      </w:r>
    </w:p>
    <w:p w14:paraId="0A291E9D">
      <w:pPr>
        <w:pStyle w:val="11"/>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000028E0">
      <w:pPr>
        <w:pStyle w:val="11"/>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（签字或盖章）</w:t>
      </w:r>
    </w:p>
    <w:p w14:paraId="0EA12584">
      <w:pPr>
        <w:pStyle w:val="11"/>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27194C77">
      <w:pPr>
        <w:pStyle w:val="11"/>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（签字或盖章）</w:t>
      </w:r>
    </w:p>
    <w:p w14:paraId="4F86D4A2">
      <w:pPr>
        <w:pStyle w:val="11"/>
        <w:ind w:firstLine="480"/>
        <w:jc w:val="left"/>
        <w:rPr>
          <w:highlight w:val="none"/>
        </w:rPr>
      </w:pPr>
      <w:r>
        <w:rPr>
          <w:rFonts w:ascii="仿宋_GB2312" w:hAnsi="仿宋_GB2312" w:eastAsia="仿宋_GB2312" w:cs="仿宋_GB2312"/>
          <w:highlight w:val="none"/>
        </w:rPr>
        <w:t>……</w:t>
      </w:r>
    </w:p>
    <w:p w14:paraId="58459BA4">
      <w:pPr>
        <w:pStyle w:val="11"/>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085EFDB7">
      <w:pPr>
        <w:pStyle w:val="11"/>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（签字或盖章）</w:t>
      </w:r>
    </w:p>
    <w:p w14:paraId="0923FAF7">
      <w:pPr>
        <w:pStyle w:val="11"/>
        <w:ind w:firstLine="480"/>
        <w:jc w:val="right"/>
        <w:rPr>
          <w:highlight w:val="none"/>
        </w:rPr>
      </w:pPr>
      <w:r>
        <w:rPr>
          <w:rFonts w:ascii="仿宋_GB2312" w:hAnsi="仿宋_GB2312" w:eastAsia="仿宋_GB2312" w:cs="仿宋_GB2312"/>
          <w:highlight w:val="none"/>
        </w:rPr>
        <w:t>签署日期：年月日</w:t>
      </w:r>
    </w:p>
    <w:p w14:paraId="245C6593">
      <w:pPr>
        <w:pStyle w:val="11"/>
        <w:ind w:firstLine="480"/>
        <w:jc w:val="left"/>
        <w:rPr>
          <w:highlight w:val="none"/>
        </w:rPr>
      </w:pPr>
      <w:r>
        <w:rPr>
          <w:rFonts w:ascii="仿宋_GB2312" w:hAnsi="仿宋_GB2312" w:eastAsia="仿宋_GB2312" w:cs="仿宋_GB2312"/>
          <w:highlight w:val="none"/>
        </w:rPr>
        <w:t>※注意：</w:t>
      </w:r>
    </w:p>
    <w:p w14:paraId="460C947D">
      <w:pPr>
        <w:pStyle w:val="11"/>
        <w:ind w:firstLine="480"/>
        <w:jc w:val="left"/>
        <w:rPr>
          <w:highlight w:val="none"/>
        </w:rPr>
      </w:pPr>
      <w:r>
        <w:rPr>
          <w:rFonts w:ascii="仿宋_GB2312" w:hAnsi="仿宋_GB2312" w:eastAsia="仿宋_GB2312" w:cs="仿宋_GB2312"/>
          <w:highlight w:val="none"/>
        </w:rPr>
        <w:t>1、招标文件接受联合体</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且</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为联合体的，</w:t>
      </w:r>
      <w:r>
        <w:rPr>
          <w:rFonts w:hint="eastAsia" w:ascii="仿宋_GB2312" w:hAnsi="仿宋_GB2312" w:eastAsia="仿宋_GB2312" w:cs="仿宋_GB2312"/>
          <w:highlight w:val="none"/>
          <w:lang w:eastAsia="zh-CN"/>
        </w:rPr>
        <w:t>供应商</w:t>
      </w:r>
      <w:r>
        <w:rPr>
          <w:rFonts w:ascii="仿宋_GB2312" w:hAnsi="仿宋_GB2312" w:eastAsia="仿宋_GB2312" w:cs="仿宋_GB2312"/>
          <w:highlight w:val="none"/>
        </w:rPr>
        <w:t>应提供本协议；否则无须提供。</w:t>
      </w:r>
    </w:p>
    <w:p w14:paraId="578E8DEE">
      <w:pPr>
        <w:pStyle w:val="11"/>
        <w:ind w:firstLine="480"/>
        <w:jc w:val="left"/>
        <w:rPr>
          <w:highlight w:val="none"/>
        </w:rPr>
      </w:pPr>
      <w:r>
        <w:rPr>
          <w:rFonts w:ascii="仿宋_GB2312" w:hAnsi="仿宋_GB2312" w:eastAsia="仿宋_GB2312" w:cs="仿宋_GB2312"/>
          <w:highlight w:val="none"/>
        </w:rPr>
        <w:t>2、本协议由委托代理人签字或盖章的，应按照本章载明的格式提供“单位负责人授权书”。</w:t>
      </w:r>
    </w:p>
    <w:p w14:paraId="6354ACFF">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p>
    <w:p w14:paraId="5185A5FE">
      <w:pPr>
        <w:pStyle w:val="11"/>
        <w:jc w:val="center"/>
        <w:outlineLvl w:val="2"/>
        <w:rPr>
          <w:highlight w:val="none"/>
        </w:rPr>
      </w:pPr>
      <w:r>
        <w:rPr>
          <w:rFonts w:ascii="仿宋_GB2312" w:hAnsi="仿宋_GB2312" w:eastAsia="仿宋_GB2312" w:cs="仿宋_GB2312"/>
          <w:b/>
          <w:sz w:val="28"/>
          <w:highlight w:val="none"/>
        </w:rPr>
        <w:t>9、分包意向协议（若有）</w:t>
      </w:r>
    </w:p>
    <w:p w14:paraId="3C37082C">
      <w:pPr>
        <w:pStyle w:val="11"/>
        <w:spacing w:line="360" w:lineRule="auto"/>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（即本项目的供应商）</w:t>
      </w:r>
    </w:p>
    <w:p w14:paraId="284F5CEE">
      <w:pPr>
        <w:pStyle w:val="11"/>
        <w:spacing w:line="360" w:lineRule="auto"/>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7B0057E6">
      <w:pPr>
        <w:pStyle w:val="11"/>
        <w:spacing w:line="360" w:lineRule="auto"/>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）的采购活动。甲方期望将采购项目的部分采购标的分包给乙方完成，而乙方保证能够向甲方提供本协议项下的采购标的，甲、乙双方就合同分包的有关事宜达成下列协议：</w:t>
      </w:r>
    </w:p>
    <w:p w14:paraId="1B6F6EB6">
      <w:pPr>
        <w:pStyle w:val="11"/>
        <w:spacing w:line="360" w:lineRule="auto"/>
        <w:ind w:firstLine="480"/>
        <w:jc w:val="left"/>
        <w:rPr>
          <w:highlight w:val="none"/>
        </w:rPr>
      </w:pPr>
      <w:r>
        <w:rPr>
          <w:rFonts w:ascii="仿宋_GB2312" w:hAnsi="仿宋_GB2312" w:eastAsia="仿宋_GB2312" w:cs="仿宋_GB2312"/>
          <w:highlight w:val="none"/>
        </w:rPr>
        <w:t>一、分包标的</w:t>
      </w:r>
    </w:p>
    <w:p w14:paraId="51C97FD7">
      <w:pPr>
        <w:pStyle w:val="11"/>
        <w:spacing w:line="360" w:lineRule="auto"/>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32A28F48">
      <w:pPr>
        <w:pStyle w:val="11"/>
        <w:spacing w:line="360" w:lineRule="auto"/>
        <w:ind w:firstLine="480"/>
        <w:jc w:val="left"/>
        <w:rPr>
          <w:highlight w:val="none"/>
        </w:rPr>
      </w:pPr>
      <w:r>
        <w:rPr>
          <w:rFonts w:ascii="仿宋_GB2312" w:hAnsi="仿宋_GB2312" w:eastAsia="仿宋_GB2312" w:cs="仿宋_GB2312"/>
          <w:highlight w:val="none"/>
        </w:rPr>
        <w:t>二、分包合同金额占比</w:t>
      </w:r>
    </w:p>
    <w:p w14:paraId="00D1BC48">
      <w:pPr>
        <w:pStyle w:val="11"/>
        <w:spacing w:line="360" w:lineRule="auto"/>
        <w:ind w:firstLine="480"/>
        <w:jc w:val="left"/>
        <w:rPr>
          <w:highlight w:val="none"/>
        </w:rPr>
      </w:pPr>
      <w:r>
        <w:rPr>
          <w:rFonts w:ascii="仿宋_GB2312" w:hAnsi="仿宋_GB2312" w:eastAsia="仿宋_GB2312" w:cs="仿宋_GB2312"/>
          <w:highlight w:val="none"/>
        </w:rPr>
        <w:t>分包合同价占</w:t>
      </w:r>
      <w:r>
        <w:rPr>
          <w:rFonts w:hint="eastAsia" w:ascii="仿宋_GB2312" w:hAnsi="仿宋_GB2312" w:eastAsia="仿宋_GB2312" w:cs="仿宋_GB2312"/>
          <w:highlight w:val="none"/>
          <w:lang w:eastAsia="zh-CN"/>
        </w:rPr>
        <w:t>报价</w:t>
      </w:r>
      <w:r>
        <w:rPr>
          <w:rFonts w:ascii="仿宋_GB2312" w:hAnsi="仿宋_GB2312" w:eastAsia="仿宋_GB2312" w:cs="仿宋_GB2312"/>
          <w:highlight w:val="none"/>
        </w:rPr>
        <w:t>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9896F02">
      <w:pPr>
        <w:pStyle w:val="11"/>
        <w:spacing w:line="360" w:lineRule="auto"/>
        <w:ind w:firstLine="480"/>
        <w:jc w:val="left"/>
        <w:rPr>
          <w:highlight w:val="none"/>
        </w:rPr>
      </w:pPr>
      <w:r>
        <w:rPr>
          <w:rFonts w:ascii="仿宋_GB2312" w:hAnsi="仿宋_GB2312" w:eastAsia="仿宋_GB2312" w:cs="仿宋_GB2312"/>
          <w:highlight w:val="none"/>
        </w:rPr>
        <w:t>三、其他条款</w:t>
      </w:r>
    </w:p>
    <w:p w14:paraId="0BC7C3D5">
      <w:pPr>
        <w:pStyle w:val="11"/>
        <w:spacing w:line="360" w:lineRule="auto"/>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61E3C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426A6C">
            <w:pPr>
              <w:pStyle w:val="11"/>
              <w:spacing w:line="360" w:lineRule="auto"/>
              <w:jc w:val="left"/>
              <w:rPr>
                <w:highlight w:val="none"/>
              </w:rPr>
            </w:pPr>
            <w:r>
              <w:rPr>
                <w:rFonts w:ascii="仿宋_GB2312" w:hAnsi="仿宋_GB2312" w:eastAsia="仿宋_GB2312" w:cs="仿宋_GB2312"/>
                <w:highlight w:val="none"/>
              </w:rPr>
              <w:t>甲方：</w:t>
            </w:r>
          </w:p>
        </w:tc>
        <w:tc>
          <w:tcPr>
            <w:tcW w:w="4153" w:type="dxa"/>
          </w:tcPr>
          <w:p w14:paraId="15173BEC">
            <w:pPr>
              <w:pStyle w:val="11"/>
              <w:spacing w:line="360" w:lineRule="auto"/>
              <w:jc w:val="left"/>
              <w:rPr>
                <w:highlight w:val="none"/>
              </w:rPr>
            </w:pPr>
            <w:r>
              <w:rPr>
                <w:rFonts w:ascii="仿宋_GB2312" w:hAnsi="仿宋_GB2312" w:eastAsia="仿宋_GB2312" w:cs="仿宋_GB2312"/>
                <w:highlight w:val="none"/>
              </w:rPr>
              <w:t>乙方：</w:t>
            </w:r>
          </w:p>
        </w:tc>
      </w:tr>
      <w:tr w14:paraId="56B0E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D9DDFC">
            <w:pPr>
              <w:pStyle w:val="11"/>
              <w:spacing w:line="360" w:lineRule="auto"/>
              <w:jc w:val="left"/>
              <w:rPr>
                <w:highlight w:val="none"/>
              </w:rPr>
            </w:pPr>
            <w:r>
              <w:rPr>
                <w:rFonts w:ascii="仿宋_GB2312" w:hAnsi="仿宋_GB2312" w:eastAsia="仿宋_GB2312" w:cs="仿宋_GB2312"/>
                <w:highlight w:val="none"/>
              </w:rPr>
              <w:t>住所：</w:t>
            </w:r>
          </w:p>
        </w:tc>
        <w:tc>
          <w:tcPr>
            <w:tcW w:w="4153" w:type="dxa"/>
          </w:tcPr>
          <w:p w14:paraId="04B26E7B">
            <w:pPr>
              <w:pStyle w:val="11"/>
              <w:spacing w:line="360" w:lineRule="auto"/>
              <w:jc w:val="left"/>
              <w:rPr>
                <w:highlight w:val="none"/>
              </w:rPr>
            </w:pPr>
            <w:r>
              <w:rPr>
                <w:rFonts w:ascii="仿宋_GB2312" w:hAnsi="仿宋_GB2312" w:eastAsia="仿宋_GB2312" w:cs="仿宋_GB2312"/>
                <w:highlight w:val="none"/>
              </w:rPr>
              <w:t>住所：</w:t>
            </w:r>
          </w:p>
        </w:tc>
      </w:tr>
      <w:tr w14:paraId="5C28D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F7C8CF">
            <w:pPr>
              <w:pStyle w:val="11"/>
              <w:spacing w:line="360" w:lineRule="auto"/>
              <w:jc w:val="left"/>
              <w:rPr>
                <w:highlight w:val="none"/>
              </w:rPr>
            </w:pPr>
            <w:r>
              <w:rPr>
                <w:rFonts w:ascii="仿宋_GB2312" w:hAnsi="仿宋_GB2312" w:eastAsia="仿宋_GB2312" w:cs="仿宋_GB2312"/>
                <w:highlight w:val="none"/>
              </w:rPr>
              <w:t>单位负责人或委托代理人：</w:t>
            </w:r>
          </w:p>
        </w:tc>
        <w:tc>
          <w:tcPr>
            <w:tcW w:w="4153" w:type="dxa"/>
          </w:tcPr>
          <w:p w14:paraId="0C1F872A">
            <w:pPr>
              <w:pStyle w:val="11"/>
              <w:spacing w:line="360" w:lineRule="auto"/>
              <w:jc w:val="left"/>
              <w:rPr>
                <w:highlight w:val="none"/>
              </w:rPr>
            </w:pPr>
            <w:r>
              <w:rPr>
                <w:rFonts w:ascii="仿宋_GB2312" w:hAnsi="仿宋_GB2312" w:eastAsia="仿宋_GB2312" w:cs="仿宋_GB2312"/>
                <w:highlight w:val="none"/>
              </w:rPr>
              <w:t>单位负责人或委托代理人：</w:t>
            </w:r>
          </w:p>
        </w:tc>
      </w:tr>
      <w:tr w14:paraId="1F873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5A3C0BF">
            <w:pPr>
              <w:pStyle w:val="11"/>
              <w:spacing w:line="360" w:lineRule="auto"/>
              <w:jc w:val="left"/>
              <w:rPr>
                <w:highlight w:val="none"/>
              </w:rPr>
            </w:pPr>
            <w:r>
              <w:rPr>
                <w:rFonts w:ascii="仿宋_GB2312" w:hAnsi="仿宋_GB2312" w:eastAsia="仿宋_GB2312" w:cs="仿宋_GB2312"/>
                <w:highlight w:val="none"/>
              </w:rPr>
              <w:t>联系方法：</w:t>
            </w:r>
          </w:p>
        </w:tc>
        <w:tc>
          <w:tcPr>
            <w:tcW w:w="4153" w:type="dxa"/>
          </w:tcPr>
          <w:p w14:paraId="571D0222">
            <w:pPr>
              <w:pStyle w:val="11"/>
              <w:spacing w:line="360" w:lineRule="auto"/>
              <w:jc w:val="left"/>
              <w:rPr>
                <w:highlight w:val="none"/>
              </w:rPr>
            </w:pPr>
            <w:r>
              <w:rPr>
                <w:rFonts w:ascii="仿宋_GB2312" w:hAnsi="仿宋_GB2312" w:eastAsia="仿宋_GB2312" w:cs="仿宋_GB2312"/>
                <w:highlight w:val="none"/>
              </w:rPr>
              <w:t>联系方法：</w:t>
            </w:r>
          </w:p>
        </w:tc>
      </w:tr>
      <w:tr w14:paraId="5CE76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7BD31C">
            <w:pPr>
              <w:pStyle w:val="11"/>
              <w:spacing w:line="360" w:lineRule="auto"/>
              <w:jc w:val="left"/>
              <w:rPr>
                <w:highlight w:val="none"/>
              </w:rPr>
            </w:pPr>
            <w:r>
              <w:rPr>
                <w:rFonts w:ascii="仿宋_GB2312" w:hAnsi="仿宋_GB2312" w:eastAsia="仿宋_GB2312" w:cs="仿宋_GB2312"/>
                <w:highlight w:val="none"/>
              </w:rPr>
              <w:t>开户银行：</w:t>
            </w:r>
          </w:p>
        </w:tc>
        <w:tc>
          <w:tcPr>
            <w:tcW w:w="4153" w:type="dxa"/>
          </w:tcPr>
          <w:p w14:paraId="17F175D3">
            <w:pPr>
              <w:pStyle w:val="11"/>
              <w:spacing w:line="360" w:lineRule="auto"/>
              <w:jc w:val="left"/>
              <w:rPr>
                <w:highlight w:val="none"/>
              </w:rPr>
            </w:pPr>
            <w:r>
              <w:rPr>
                <w:rFonts w:ascii="仿宋_GB2312" w:hAnsi="仿宋_GB2312" w:eastAsia="仿宋_GB2312" w:cs="仿宋_GB2312"/>
                <w:highlight w:val="none"/>
              </w:rPr>
              <w:t>开户银行：</w:t>
            </w:r>
          </w:p>
        </w:tc>
      </w:tr>
      <w:tr w14:paraId="45D4F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A60B0A">
            <w:pPr>
              <w:pStyle w:val="11"/>
              <w:spacing w:line="360" w:lineRule="auto"/>
              <w:jc w:val="left"/>
              <w:rPr>
                <w:highlight w:val="none"/>
              </w:rPr>
            </w:pPr>
            <w:r>
              <w:rPr>
                <w:rFonts w:ascii="仿宋_GB2312" w:hAnsi="仿宋_GB2312" w:eastAsia="仿宋_GB2312" w:cs="仿宋_GB2312"/>
                <w:highlight w:val="none"/>
              </w:rPr>
              <w:t>账号：</w:t>
            </w:r>
          </w:p>
        </w:tc>
        <w:tc>
          <w:tcPr>
            <w:tcW w:w="4153" w:type="dxa"/>
          </w:tcPr>
          <w:p w14:paraId="7BCFD451">
            <w:pPr>
              <w:pStyle w:val="11"/>
              <w:spacing w:line="360" w:lineRule="auto"/>
              <w:jc w:val="left"/>
              <w:rPr>
                <w:highlight w:val="none"/>
              </w:rPr>
            </w:pPr>
            <w:r>
              <w:rPr>
                <w:rFonts w:ascii="仿宋_GB2312" w:hAnsi="仿宋_GB2312" w:eastAsia="仿宋_GB2312" w:cs="仿宋_GB2312"/>
                <w:highlight w:val="none"/>
              </w:rPr>
              <w:t>账号：</w:t>
            </w:r>
          </w:p>
        </w:tc>
      </w:tr>
      <w:tr w14:paraId="3E102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5ECCD82">
            <w:pPr>
              <w:pStyle w:val="11"/>
              <w:spacing w:line="360" w:lineRule="auto"/>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44CF8A7F">
            <w:pPr>
              <w:pStyle w:val="11"/>
              <w:spacing w:line="360" w:lineRule="auto"/>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29CCAAC4">
      <w:pPr>
        <w:pStyle w:val="11"/>
        <w:spacing w:line="360" w:lineRule="auto"/>
        <w:ind w:firstLine="480"/>
        <w:jc w:val="left"/>
        <w:rPr>
          <w:highlight w:val="none"/>
        </w:rPr>
      </w:pPr>
      <w:r>
        <w:rPr>
          <w:rFonts w:ascii="仿宋_GB2312" w:hAnsi="仿宋_GB2312" w:eastAsia="仿宋_GB2312" w:cs="仿宋_GB2312"/>
          <w:highlight w:val="none"/>
        </w:rPr>
        <w:t>※注意：</w:t>
      </w:r>
    </w:p>
    <w:p w14:paraId="70BC3B91">
      <w:pPr>
        <w:pStyle w:val="11"/>
        <w:spacing w:line="360" w:lineRule="auto"/>
        <w:ind w:firstLine="480"/>
        <w:jc w:val="left"/>
        <w:rPr>
          <w:highlight w:val="none"/>
        </w:rPr>
      </w:pPr>
      <w:r>
        <w:rPr>
          <w:rFonts w:ascii="仿宋_GB2312" w:hAnsi="仿宋_GB2312" w:eastAsia="仿宋_GB2312" w:cs="仿宋_GB2312"/>
          <w:highlight w:val="none"/>
        </w:rPr>
        <w:t>1.响应文件接受合同分包且供应商拟将合同分包的，应提供本协议；否则无须提供。</w:t>
      </w:r>
    </w:p>
    <w:p w14:paraId="4290CF72">
      <w:pPr>
        <w:pStyle w:val="11"/>
        <w:spacing w:line="360" w:lineRule="auto"/>
        <w:ind w:firstLine="480"/>
        <w:jc w:val="left"/>
        <w:rPr>
          <w:highlight w:val="none"/>
        </w:rPr>
      </w:pPr>
      <w:r>
        <w:rPr>
          <w:rFonts w:ascii="仿宋_GB2312" w:hAnsi="仿宋_GB2312" w:eastAsia="仿宋_GB2312" w:cs="仿宋_GB2312"/>
          <w:highlight w:val="none"/>
        </w:rPr>
        <w:t>2.本协议由委托代理人签字或盖章的，应按照本章载明的格式提供“单位负责人授权书”。</w:t>
      </w:r>
    </w:p>
    <w:p w14:paraId="3FF22400">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3602B8C">
      <w:pPr>
        <w:pStyle w:val="11"/>
        <w:jc w:val="center"/>
        <w:outlineLvl w:val="2"/>
        <w:rPr>
          <w:highlight w:val="none"/>
        </w:rPr>
      </w:pPr>
      <w:r>
        <w:rPr>
          <w:rFonts w:ascii="仿宋_GB2312" w:hAnsi="仿宋_GB2312" w:eastAsia="仿宋_GB2312" w:cs="仿宋_GB2312"/>
          <w:b/>
          <w:sz w:val="28"/>
          <w:highlight w:val="none"/>
        </w:rPr>
        <w:t>10、</w:t>
      </w:r>
      <w:r>
        <w:rPr>
          <w:rFonts w:hint="eastAsia" w:ascii="仿宋_GB2312" w:hAnsi="仿宋_GB2312" w:eastAsia="仿宋_GB2312" w:cs="仿宋_GB2312"/>
          <w:b/>
          <w:sz w:val="28"/>
          <w:highlight w:val="none"/>
          <w:lang w:eastAsia="zh-CN"/>
        </w:rPr>
        <w:t>询比</w:t>
      </w:r>
      <w:r>
        <w:rPr>
          <w:rFonts w:ascii="仿宋_GB2312" w:hAnsi="仿宋_GB2312" w:eastAsia="仿宋_GB2312" w:cs="仿宋_GB2312"/>
          <w:b/>
          <w:sz w:val="28"/>
          <w:highlight w:val="none"/>
        </w:rPr>
        <w:t>保证金凭证</w:t>
      </w:r>
    </w:p>
    <w:p w14:paraId="37934344">
      <w:pPr>
        <w:pStyle w:val="11"/>
        <w:spacing w:line="360" w:lineRule="auto"/>
        <w:ind w:firstLine="480"/>
        <w:jc w:val="left"/>
        <w:rPr>
          <w:highlight w:val="none"/>
        </w:rPr>
      </w:pPr>
      <w:r>
        <w:rPr>
          <w:rFonts w:ascii="仿宋_GB2312" w:hAnsi="仿宋_GB2312" w:eastAsia="仿宋_GB2312" w:cs="仿宋_GB2312"/>
          <w:highlight w:val="none"/>
        </w:rPr>
        <w:t>注：</w:t>
      </w:r>
    </w:p>
    <w:p w14:paraId="313F3A73">
      <w:pPr>
        <w:pStyle w:val="11"/>
        <w:spacing w:line="360" w:lineRule="auto"/>
        <w:ind w:firstLine="480"/>
        <w:jc w:val="left"/>
        <w:rPr>
          <w:highlight w:val="none"/>
        </w:rPr>
      </w:pPr>
      <w:r>
        <w:rPr>
          <w:rFonts w:ascii="仿宋_GB2312" w:hAnsi="仿宋_GB2312" w:eastAsia="仿宋_GB2312" w:cs="仿宋_GB2312"/>
          <w:highlight w:val="none"/>
        </w:rPr>
        <w:t>1、在此项下提交的“</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保证金”材料可使用转账凭证复印件或从</w:t>
      </w:r>
      <w:r>
        <w:rPr>
          <w:rFonts w:hint="eastAsia" w:ascii="仿宋_GB2312" w:hAnsi="仿宋_GB2312" w:eastAsia="仿宋_GB2312" w:cs="仿宋_GB2312"/>
          <w:highlight w:val="none"/>
          <w:lang w:eastAsia="zh-CN"/>
        </w:rPr>
        <w:t>福州市公共资源交易网</w:t>
      </w:r>
      <w:r>
        <w:rPr>
          <w:rFonts w:ascii="仿宋_GB2312" w:hAnsi="仿宋_GB2312" w:eastAsia="仿宋_GB2312" w:cs="仿宋_GB2312"/>
          <w:highlight w:val="none"/>
        </w:rPr>
        <w:t>中下载的有关原始页面的打印件。通过</w:t>
      </w:r>
      <w:r>
        <w:rPr>
          <w:rFonts w:hint="eastAsia" w:ascii="仿宋_GB2312" w:hAnsi="仿宋_GB2312" w:eastAsia="仿宋_GB2312" w:cs="仿宋_GB2312"/>
          <w:highlight w:val="none"/>
          <w:lang w:eastAsia="zh-CN"/>
        </w:rPr>
        <w:t>福州市公共资源交易网</w:t>
      </w:r>
      <w:r>
        <w:rPr>
          <w:rFonts w:ascii="仿宋_GB2312" w:hAnsi="仿宋_GB2312" w:eastAsia="仿宋_GB2312" w:cs="仿宋_GB2312"/>
          <w:highlight w:val="none"/>
        </w:rPr>
        <w:t>“保函服务”栏目办理电子保函的，提供电子保函电子格式。</w:t>
      </w:r>
    </w:p>
    <w:p w14:paraId="75A3EA54">
      <w:pPr>
        <w:pStyle w:val="11"/>
        <w:spacing w:line="360" w:lineRule="auto"/>
        <w:ind w:firstLine="480"/>
        <w:jc w:val="left"/>
        <w:rPr>
          <w:highlight w:val="none"/>
        </w:rPr>
      </w:pPr>
      <w:r>
        <w:rPr>
          <w:rFonts w:ascii="仿宋_GB2312" w:hAnsi="仿宋_GB2312" w:eastAsia="仿宋_GB2312" w:cs="仿宋_GB2312"/>
          <w:highlight w:val="none"/>
        </w:rPr>
        <w:t>2、</w:t>
      </w:r>
      <w:r>
        <w:rPr>
          <w:rFonts w:hint="eastAsia" w:ascii="仿宋_GB2312" w:hAnsi="仿宋_GB2312" w:eastAsia="仿宋_GB2312" w:cs="仿宋_GB2312"/>
          <w:highlight w:val="none"/>
          <w:lang w:eastAsia="zh-CN"/>
        </w:rPr>
        <w:t>询比</w:t>
      </w:r>
      <w:r>
        <w:rPr>
          <w:rFonts w:ascii="仿宋_GB2312" w:hAnsi="仿宋_GB2312" w:eastAsia="仿宋_GB2312" w:cs="仿宋_GB2312"/>
          <w:highlight w:val="none"/>
        </w:rPr>
        <w:t>保证金是否已提交的认定按照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的规定执行。</w:t>
      </w:r>
    </w:p>
    <w:p w14:paraId="6991AF96">
      <w:pPr>
        <w:pStyle w:val="11"/>
        <w:spacing w:line="360" w:lineRule="auto"/>
        <w:ind w:firstLine="480"/>
        <w:jc w:val="right"/>
        <w:rPr>
          <w:highlight w:val="none"/>
        </w:rPr>
      </w:pPr>
      <w:r>
        <w:rPr>
          <w:rFonts w:ascii="仿宋_GB2312" w:hAnsi="仿宋_GB2312" w:eastAsia="仿宋_GB2312" w:cs="仿宋_GB2312"/>
          <w:highlight w:val="none"/>
        </w:rPr>
        <w:t>供应商代表签名或签章：</w:t>
      </w:r>
      <w:r>
        <w:rPr>
          <w:rFonts w:ascii="仿宋_GB2312" w:hAnsi="仿宋_GB2312" w:eastAsia="仿宋_GB2312" w:cs="仿宋_GB2312"/>
          <w:highlight w:val="none"/>
          <w:u w:val="single"/>
        </w:rPr>
        <w:t>　　　　　　　</w:t>
      </w:r>
    </w:p>
    <w:p w14:paraId="1AEB9688">
      <w:pPr>
        <w:pStyle w:val="11"/>
        <w:spacing w:line="360" w:lineRule="auto"/>
        <w:ind w:firstLine="480"/>
        <w:jc w:val="right"/>
        <w:rPr>
          <w:highlight w:val="none"/>
        </w:rPr>
      </w:pPr>
      <w:r>
        <w:rPr>
          <w:rFonts w:ascii="仿宋_GB2312" w:hAnsi="仿宋_GB2312" w:eastAsia="仿宋_GB2312" w:cs="仿宋_GB2312"/>
          <w:highlight w:val="none"/>
        </w:rPr>
        <w:t>供应商（全称并加盖公章）：</w:t>
      </w:r>
      <w:r>
        <w:rPr>
          <w:rFonts w:ascii="仿宋_GB2312" w:hAnsi="仿宋_GB2312" w:eastAsia="仿宋_GB2312" w:cs="仿宋_GB2312"/>
          <w:highlight w:val="none"/>
          <w:u w:val="single"/>
        </w:rPr>
        <w:t>　　　　　　　</w:t>
      </w:r>
    </w:p>
    <w:p w14:paraId="28AA2682">
      <w:pPr>
        <w:pStyle w:val="11"/>
        <w:spacing w:line="360" w:lineRule="auto"/>
        <w:ind w:firstLine="480"/>
        <w:jc w:val="right"/>
        <w:rPr>
          <w:highlight w:val="none"/>
        </w:rPr>
      </w:pPr>
      <w:r>
        <w:rPr>
          <w:rFonts w:ascii="仿宋_GB2312" w:hAnsi="仿宋_GB2312" w:eastAsia="仿宋_GB2312" w:cs="仿宋_GB2312"/>
          <w:highlight w:val="none"/>
        </w:rPr>
        <w:t>日期：　　年　　月　　日</w:t>
      </w:r>
    </w:p>
    <w:p w14:paraId="3C0FF8BB">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0AF8D06">
      <w:pPr>
        <w:pStyle w:val="11"/>
        <w:jc w:val="center"/>
        <w:outlineLvl w:val="2"/>
        <w:rPr>
          <w:highlight w:val="none"/>
        </w:rPr>
      </w:pPr>
      <w:r>
        <w:rPr>
          <w:rFonts w:ascii="仿宋_GB2312" w:hAnsi="仿宋_GB2312" w:eastAsia="仿宋_GB2312" w:cs="仿宋_GB2312"/>
          <w:b/>
          <w:sz w:val="28"/>
          <w:highlight w:val="none"/>
        </w:rPr>
        <w:t>11、要求作为响应文件组成部分的其他内容（若有）</w:t>
      </w:r>
    </w:p>
    <w:p w14:paraId="6B3B5C39">
      <w:pPr>
        <w:pStyle w:val="11"/>
        <w:spacing w:line="360" w:lineRule="auto"/>
        <w:ind w:firstLine="480"/>
        <w:jc w:val="left"/>
        <w:rPr>
          <w:highlight w:val="none"/>
        </w:rPr>
      </w:pPr>
      <w:r>
        <w:rPr>
          <w:rFonts w:ascii="仿宋_GB2312" w:hAnsi="仿宋_GB2312" w:eastAsia="仿宋_GB2312" w:cs="仿宋_GB2312"/>
          <w:highlight w:val="none"/>
        </w:rPr>
        <w:t>说明：</w:t>
      </w:r>
    </w:p>
    <w:p w14:paraId="0C6F5EF5">
      <w:pPr>
        <w:pStyle w:val="11"/>
        <w:spacing w:line="360" w:lineRule="auto"/>
        <w:ind w:firstLine="480"/>
        <w:jc w:val="left"/>
        <w:rPr>
          <w:highlight w:val="none"/>
        </w:rPr>
      </w:pPr>
      <w:r>
        <w:rPr>
          <w:rFonts w:ascii="仿宋_GB2312" w:hAnsi="仿宋_GB2312" w:eastAsia="仿宋_GB2312" w:cs="仿宋_GB2312"/>
          <w:highlight w:val="none"/>
        </w:rPr>
        <w:t>采购人或采购代理机构可以根据项目的特点和需要，在</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中对要求作为相应文件组成部分的其他内容进行具体规定或附表格式，供应商应按照</w:t>
      </w:r>
      <w:r>
        <w:rPr>
          <w:rFonts w:hint="eastAsia" w:ascii="仿宋_GB2312" w:hAnsi="仿宋_GB2312" w:eastAsia="仿宋_GB2312" w:cs="仿宋_GB2312"/>
          <w:highlight w:val="none"/>
          <w:lang w:eastAsia="zh-CN"/>
        </w:rPr>
        <w:t>询比文件</w:t>
      </w:r>
      <w:r>
        <w:rPr>
          <w:rFonts w:ascii="仿宋_GB2312" w:hAnsi="仿宋_GB2312" w:eastAsia="仿宋_GB2312" w:cs="仿宋_GB2312"/>
          <w:highlight w:val="none"/>
        </w:rPr>
        <w:t>要求提供相关承诺及材料（格式自拟），并加盖供应商单位公章。</w:t>
      </w:r>
      <w:r>
        <w:rPr>
          <w:highlight w:val="none"/>
        </w:rPr>
        <w:br w:type="textWrapping"/>
      </w:r>
      <w:r>
        <w:rPr>
          <w:highlight w:val="none"/>
        </w:rPr>
        <w:br w:type="textWrapping"/>
      </w:r>
    </w:p>
    <w:p w14:paraId="532336F5">
      <w:pPr>
        <w:pStyle w:val="11"/>
        <w:spacing w:line="360" w:lineRule="auto"/>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 xml:space="preserve">         （签字）</w:t>
      </w:r>
    </w:p>
    <w:p w14:paraId="37310B55">
      <w:pPr>
        <w:pStyle w:val="11"/>
        <w:spacing w:line="360" w:lineRule="auto"/>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 xml:space="preserve">       （全称并加盖公章）</w:t>
      </w:r>
    </w:p>
    <w:p w14:paraId="05A91AF4">
      <w:pPr>
        <w:pStyle w:val="11"/>
        <w:spacing w:line="360" w:lineRule="auto"/>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r>
        <w:rPr>
          <w:highlight w:val="none"/>
        </w:rPr>
        <w:br w:type="textWrapping"/>
      </w:r>
      <w:r>
        <w:rPr>
          <w:highlight w:val="none"/>
        </w:rPr>
        <w:br w:type="textWrapping"/>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Wingdings 2">
    <w:altName w:val="汉仪君黑KW 55J"/>
    <w:panose1 w:val="05020102010507070707"/>
    <w:charset w:val="00"/>
    <w:family w:val="auto"/>
    <w:pitch w:val="default"/>
    <w:sig w:usb0="00000000" w:usb1="00000000" w:usb2="00000000" w:usb3="00000000" w:csb0="80000000" w:csb1="00000000"/>
  </w:font>
  <w:font w:name="汉仪君黑KW 55J">
    <w:panose1 w:val="00020600040101010101"/>
    <w:charset w:val="86"/>
    <w:family w:val="auto"/>
    <w:pitch w:val="default"/>
    <w:sig w:usb0="A00002BF" w:usb1="0ACF7CFA" w:usb2="00000016" w:usb3="00000000" w:csb0="0004000F" w:csb1="00000000"/>
  </w:font>
  <w:font w:name="sans-serif">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6A18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B5B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475A">
    <w:pPr>
      <w:pStyle w:val="7"/>
    </w:pPr>
    <w:bookmarkStart w:id="28" w:name="_GoBack"/>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F84C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2F84C1">
                    <w:pPr>
                      <w:pStyle w:val="7"/>
                    </w:pPr>
                    <w:r>
                      <w:fldChar w:fldCharType="begin"/>
                    </w:r>
                    <w:r>
                      <w:instrText xml:space="preserve"> PAGE  \* MERGEFORMAT </w:instrText>
                    </w:r>
                    <w:r>
                      <w:fldChar w:fldCharType="separate"/>
                    </w:r>
                    <w:r>
                      <w:t>1</w:t>
                    </w:r>
                    <w:r>
                      <w:fldChar w:fldCharType="end"/>
                    </w:r>
                  </w:p>
                </w:txbxContent>
              </v:textbox>
            </v:shape>
          </w:pict>
        </mc:Fallback>
      </mc:AlternateContent>
    </w:r>
    <w:bookmarkEnd w:id="28"/>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D101B"/>
    <w:multiLevelType w:val="singleLevel"/>
    <w:tmpl w:val="9BED101B"/>
    <w:lvl w:ilvl="0" w:tentative="0">
      <w:start w:val="5"/>
      <w:numFmt w:val="chineseCounting"/>
      <w:suff w:val="nothing"/>
      <w:lvlText w:val="（%1）"/>
      <w:lvlJc w:val="left"/>
      <w:pPr>
        <w:ind w:left="70"/>
      </w:pPr>
      <w:rPr>
        <w:rFonts w:hint="eastAsia"/>
      </w:rPr>
    </w:lvl>
  </w:abstractNum>
  <w:abstractNum w:abstractNumId="1">
    <w:nsid w:val="DB905092"/>
    <w:multiLevelType w:val="singleLevel"/>
    <w:tmpl w:val="DB905092"/>
    <w:lvl w:ilvl="0" w:tentative="0">
      <w:start w:val="1"/>
      <w:numFmt w:val="chineseCounting"/>
      <w:suff w:val="nothing"/>
      <w:lvlText w:val="%1、"/>
      <w:lvlJc w:val="left"/>
      <w:rPr>
        <w:rFonts w:hint="eastAsia"/>
      </w:rPr>
    </w:lvl>
  </w:abstractNum>
  <w:abstractNum w:abstractNumId="2">
    <w:nsid w:val="FFFC4891"/>
    <w:multiLevelType w:val="singleLevel"/>
    <w:tmpl w:val="FFFC4891"/>
    <w:lvl w:ilvl="0" w:tentative="0">
      <w:start w:val="9"/>
      <w:numFmt w:val="chineseCounting"/>
      <w:suff w:val="nothing"/>
      <w:lvlText w:val="%1、"/>
      <w:lvlJc w:val="left"/>
      <w:pPr>
        <w:ind w:left="120" w:leftChars="0" w:firstLine="0" w:firstLineChars="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96F7351"/>
    <w:rsid w:val="177F50ED"/>
    <w:rsid w:val="17DB310C"/>
    <w:rsid w:val="19F44E47"/>
    <w:rsid w:val="1DE6E87D"/>
    <w:rsid w:val="24BF24FE"/>
    <w:rsid w:val="275FA7FA"/>
    <w:rsid w:val="2F0D2703"/>
    <w:rsid w:val="33FF9608"/>
    <w:rsid w:val="37F7503E"/>
    <w:rsid w:val="384F0C8B"/>
    <w:rsid w:val="3C53A468"/>
    <w:rsid w:val="3C762845"/>
    <w:rsid w:val="3CF4D4EB"/>
    <w:rsid w:val="3ECFF003"/>
    <w:rsid w:val="3F3FEED2"/>
    <w:rsid w:val="3F4D0885"/>
    <w:rsid w:val="3FFF9BCF"/>
    <w:rsid w:val="3FFFD659"/>
    <w:rsid w:val="49B63543"/>
    <w:rsid w:val="4D876B86"/>
    <w:rsid w:val="4DA627F3"/>
    <w:rsid w:val="4FF31896"/>
    <w:rsid w:val="4FF705AB"/>
    <w:rsid w:val="4FFB09D3"/>
    <w:rsid w:val="50D9132B"/>
    <w:rsid w:val="510F385C"/>
    <w:rsid w:val="53B52B8D"/>
    <w:rsid w:val="53BF72FC"/>
    <w:rsid w:val="5B16F2C6"/>
    <w:rsid w:val="5BF7C65A"/>
    <w:rsid w:val="5CDF8070"/>
    <w:rsid w:val="5EBC9BDD"/>
    <w:rsid w:val="5EED205A"/>
    <w:rsid w:val="5EEE15BB"/>
    <w:rsid w:val="5F2CC6EE"/>
    <w:rsid w:val="5FCB3A4F"/>
    <w:rsid w:val="5FDAB886"/>
    <w:rsid w:val="672D8597"/>
    <w:rsid w:val="6AF3A7E8"/>
    <w:rsid w:val="6B7F9290"/>
    <w:rsid w:val="6C964556"/>
    <w:rsid w:val="6DFB2A1E"/>
    <w:rsid w:val="6E7E5ABD"/>
    <w:rsid w:val="6F6F6497"/>
    <w:rsid w:val="6F7F1355"/>
    <w:rsid w:val="6F7FB175"/>
    <w:rsid w:val="6FCD4DC7"/>
    <w:rsid w:val="6FDF2314"/>
    <w:rsid w:val="71B64130"/>
    <w:rsid w:val="73872853"/>
    <w:rsid w:val="73DF920C"/>
    <w:rsid w:val="73FBE6C0"/>
    <w:rsid w:val="757F7134"/>
    <w:rsid w:val="75FF32AA"/>
    <w:rsid w:val="76E7905D"/>
    <w:rsid w:val="777F6B6E"/>
    <w:rsid w:val="77BB299E"/>
    <w:rsid w:val="77F79321"/>
    <w:rsid w:val="77FD4070"/>
    <w:rsid w:val="7E7EC415"/>
    <w:rsid w:val="7EEE15BA"/>
    <w:rsid w:val="7EFD9212"/>
    <w:rsid w:val="7EFEFBD1"/>
    <w:rsid w:val="7F56CCE0"/>
    <w:rsid w:val="7F5F2CC3"/>
    <w:rsid w:val="7F76514E"/>
    <w:rsid w:val="7F7BC5CF"/>
    <w:rsid w:val="7F7DF8D4"/>
    <w:rsid w:val="7FEF1CA1"/>
    <w:rsid w:val="7FF5D9AA"/>
    <w:rsid w:val="7FFD3DA8"/>
    <w:rsid w:val="7FFF020F"/>
    <w:rsid w:val="95FA9897"/>
    <w:rsid w:val="9D957A8B"/>
    <w:rsid w:val="9EBF02DF"/>
    <w:rsid w:val="9FE5F6B8"/>
    <w:rsid w:val="9FED1E4B"/>
    <w:rsid w:val="A47A082A"/>
    <w:rsid w:val="ADDDB815"/>
    <w:rsid w:val="ADF3CA95"/>
    <w:rsid w:val="B5702163"/>
    <w:rsid w:val="B59EDE94"/>
    <w:rsid w:val="B6EB46E8"/>
    <w:rsid w:val="BAB5CCB7"/>
    <w:rsid w:val="BBBF7779"/>
    <w:rsid w:val="BD8E7DD2"/>
    <w:rsid w:val="BF8D6703"/>
    <w:rsid w:val="BFBFB125"/>
    <w:rsid w:val="BFEC552D"/>
    <w:rsid w:val="BFED18E9"/>
    <w:rsid w:val="CF7DCCCB"/>
    <w:rsid w:val="CFB3FA48"/>
    <w:rsid w:val="CFF76752"/>
    <w:rsid w:val="CFFDB4CB"/>
    <w:rsid w:val="D6FD2BE6"/>
    <w:rsid w:val="D9EB7089"/>
    <w:rsid w:val="DE5376F4"/>
    <w:rsid w:val="DEBD6C9D"/>
    <w:rsid w:val="DEBE7D79"/>
    <w:rsid w:val="DFBB8012"/>
    <w:rsid w:val="E7FE4B79"/>
    <w:rsid w:val="EDBA3F78"/>
    <w:rsid w:val="EDBF0D15"/>
    <w:rsid w:val="EEF7C5A5"/>
    <w:rsid w:val="EEFC7BD7"/>
    <w:rsid w:val="EF7F592F"/>
    <w:rsid w:val="EFD99F8E"/>
    <w:rsid w:val="EFEDF200"/>
    <w:rsid w:val="EFEFF753"/>
    <w:rsid w:val="F1FFB0E6"/>
    <w:rsid w:val="F3FF6EB8"/>
    <w:rsid w:val="F7311453"/>
    <w:rsid w:val="F73E6743"/>
    <w:rsid w:val="F7DBED0F"/>
    <w:rsid w:val="F7EBCACA"/>
    <w:rsid w:val="F9934036"/>
    <w:rsid w:val="FA7F5B0C"/>
    <w:rsid w:val="FBDBE8B3"/>
    <w:rsid w:val="FCFEAA8C"/>
    <w:rsid w:val="FDEB5358"/>
    <w:rsid w:val="FDFFF817"/>
    <w:rsid w:val="FE77C5CB"/>
    <w:rsid w:val="FEFB96BD"/>
    <w:rsid w:val="FEFF86C1"/>
    <w:rsid w:val="FF1C28D3"/>
    <w:rsid w:val="FF54F33B"/>
    <w:rsid w:val="FF7BDF7E"/>
    <w:rsid w:val="FFA63EFE"/>
    <w:rsid w:val="FFF6B738"/>
    <w:rsid w:val="FFFAD610"/>
    <w:rsid w:val="FFFF8AE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eastAsia="宋体"/>
      <w:kern w:val="28"/>
      <w:szCs w:val="20"/>
    </w:rPr>
  </w:style>
  <w:style w:type="paragraph" w:styleId="3">
    <w:name w:val="Normal Indent"/>
    <w:basedOn w:val="1"/>
    <w:next w:val="4"/>
    <w:qFormat/>
    <w:uiPriority w:val="99"/>
    <w:pPr>
      <w:ind w:firstLine="420"/>
    </w:pPr>
    <w:rPr>
      <w:rFonts w:ascii="Calibri" w:hAnsi="Calibri" w:eastAsia="宋体"/>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text"/>
    <w:basedOn w:val="1"/>
    <w:qFormat/>
    <w:uiPriority w:val="0"/>
    <w:pPr>
      <w:jc w:val="left"/>
    </w:pPr>
  </w:style>
  <w:style w:type="paragraph" w:styleId="6">
    <w:name w:val="Body Text"/>
    <w:basedOn w:val="1"/>
    <w:qFormat/>
    <w:uiPriority w:val="0"/>
    <w:pPr>
      <w:spacing w:line="380" w:lineRule="exact"/>
    </w:pPr>
    <w:rPr>
      <w:rFonts w:ascii="Calibri" w:hAnsi="Calibri"/>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val="0"/>
      <w:tabs>
        <w:tab w:val="left" w:pos="1050"/>
        <w:tab w:val="right" w:leader="dot" w:pos="9171"/>
      </w:tabs>
      <w:spacing w:line="560" w:lineRule="exact"/>
      <w:jc w:val="left"/>
      <w:textAlignment w:val="auto"/>
    </w:pPr>
    <w:rPr>
      <w:rFonts w:ascii="宋体" w:hAnsi="宋体"/>
      <w:b/>
      <w:szCs w:val="20"/>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unnamed11"/>
    <w:qFormat/>
    <w:uiPriority w:val="0"/>
    <w:rPr>
      <w:sz w:val="21"/>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character" w:customStyle="1" w:styleId="14">
    <w:name w:val="font61"/>
    <w:basedOn w:val="10"/>
    <w:qFormat/>
    <w:uiPriority w:val="0"/>
    <w:rPr>
      <w:rFonts w:hint="eastAsia" w:ascii="宋体" w:hAnsi="宋体" w:eastAsia="宋体" w:cs="宋体"/>
      <w:color w:val="000000"/>
      <w:sz w:val="22"/>
      <w:szCs w:val="22"/>
      <w:u w:val="none"/>
    </w:rPr>
  </w:style>
  <w:style w:type="character" w:customStyle="1" w:styleId="15">
    <w:name w:val="font01"/>
    <w:basedOn w:val="10"/>
    <w:qFormat/>
    <w:uiPriority w:val="0"/>
    <w:rPr>
      <w:rFonts w:hint="eastAsia" w:ascii="宋体" w:hAnsi="宋体" w:eastAsia="宋体" w:cs="宋体"/>
      <w:color w:val="000000"/>
      <w:sz w:val="22"/>
      <w:szCs w:val="22"/>
      <w:u w:val="single"/>
    </w:rPr>
  </w:style>
  <w:style w:type="character" w:customStyle="1" w:styleId="16">
    <w:name w:val="font11"/>
    <w:basedOn w:val="10"/>
    <w:qFormat/>
    <w:uiPriority w:val="0"/>
    <w:rPr>
      <w:rFonts w:hint="eastAsia" w:ascii="宋体" w:hAnsi="宋体" w:eastAsia="宋体" w:cs="宋体"/>
      <w:color w:val="000000"/>
      <w:sz w:val="24"/>
      <w:szCs w:val="24"/>
      <w:u w:val="none"/>
    </w:rPr>
  </w:style>
  <w:style w:type="paragraph" w:customStyle="1" w:styleId="17">
    <w:name w:val="列出段落2"/>
    <w:basedOn w:val="1"/>
    <w:qFormat/>
    <w:uiPriority w:val="0"/>
    <w:pPr>
      <w:widowControl/>
      <w:ind w:firstLine="420" w:firstLineChars="20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dad5cb0-e403-49f1-a185-c2289cd82f8f}"/>
        <w:style w:val=""/>
        <w:category>
          <w:name w:val="常规"/>
          <w:gallery w:val="placeholder"/>
        </w:category>
        <w:types>
          <w:type w:val="bbPlcHdr"/>
        </w:types>
        <w:behaviors>
          <w:behavior w:val="content"/>
        </w:behaviors>
        <w:description w:val=""/>
        <w:guid w:val="{8dad5cb0-e403-49f1-a185-c2289cd82f8f}"/>
      </w:docPartPr>
      <w:docPartBody>
        <w:p w14:paraId="741BF6AD">
          <w:r>
            <w:rPr>
              <w:color w:val="808080"/>
            </w:rPr>
            <w:t>单击此处输入文字。</w:t>
          </w:r>
        </w:p>
      </w:docPartBody>
    </w:docPart>
    <w:docPart>
      <w:docPartPr>
        <w:name w:val="{2eed64ab-e12f-4fcc-a7c5-75e16d25875f}"/>
        <w:style w:val=""/>
        <w:category>
          <w:name w:val="常规"/>
          <w:gallery w:val="placeholder"/>
        </w:category>
        <w:types>
          <w:type w:val="bbPlcHdr"/>
        </w:types>
        <w:behaviors>
          <w:behavior w:val="content"/>
        </w:behaviors>
        <w:description w:val=""/>
        <w:guid w:val="{2eed64ab-e12f-4fcc-a7c5-75e16d25875f}"/>
      </w:docPartPr>
      <w:docPartBody>
        <w:p w14:paraId="2CCC7B9C">
          <w:r>
            <w:rPr>
              <w:color w:val="808080"/>
            </w:rPr>
            <w:t>单击此处输入文字。</w:t>
          </w:r>
        </w:p>
      </w:docPartBody>
    </w:docPart>
    <w:docPart>
      <w:docPartPr>
        <w:name w:val="{169b255f-c4fc-4e3e-bc3a-218c524385db}"/>
        <w:style w:val=""/>
        <w:category>
          <w:name w:val="常规"/>
          <w:gallery w:val="placeholder"/>
        </w:category>
        <w:types>
          <w:type w:val="bbPlcHdr"/>
        </w:types>
        <w:behaviors>
          <w:behavior w:val="content"/>
        </w:behaviors>
        <w:description w:val=""/>
        <w:guid w:val="{169b255f-c4fc-4e3e-bc3a-218c524385db}"/>
      </w:docPartPr>
      <w:docPartBody>
        <w:p w14:paraId="266624E7">
          <w:r>
            <w:rPr>
              <w:color w:val="808080"/>
            </w:rPr>
            <w:t>单击此处输入文字。</w:t>
          </w:r>
        </w:p>
      </w:docPartBody>
    </w:docPart>
    <w:docPart>
      <w:docPartPr>
        <w:name w:val="{cdc221ac-c552-4ff8-91b2-2ecf86c84905}"/>
        <w:style w:val=""/>
        <w:category>
          <w:name w:val="常规"/>
          <w:gallery w:val="placeholder"/>
        </w:category>
        <w:types>
          <w:type w:val="bbPlcHdr"/>
        </w:types>
        <w:behaviors>
          <w:behavior w:val="content"/>
        </w:behaviors>
        <w:description w:val=""/>
        <w:guid w:val="{cdc221ac-c552-4ff8-91b2-2ecf86c84905}"/>
      </w:docPartPr>
      <w:docPartBody>
        <w:p w14:paraId="604DCA3F">
          <w:r>
            <w:rPr>
              <w:color w:val="808080"/>
            </w:rPr>
            <w:t>单击此处输入文字。</w:t>
          </w:r>
        </w:p>
      </w:docPartBody>
    </w:docPart>
    <w:docPart>
      <w:docPartPr>
        <w:name w:val="{1ae3c517-368a-4db9-b1b1-434b463d7fbd}"/>
        <w:style w:val=""/>
        <w:category>
          <w:name w:val="常规"/>
          <w:gallery w:val="placeholder"/>
        </w:category>
        <w:types>
          <w:type w:val="bbPlcHdr"/>
        </w:types>
        <w:behaviors>
          <w:behavior w:val="content"/>
        </w:behaviors>
        <w:description w:val=""/>
        <w:guid w:val="{1ae3c517-368a-4db9-b1b1-434b463d7fbd}"/>
      </w:docPartPr>
      <w:docPartBody>
        <w:p w14:paraId="4249CA33">
          <w:r>
            <w:rPr>
              <w:color w:val="808080"/>
            </w:rPr>
            <w:t>单击此处输入文字。</w:t>
          </w:r>
        </w:p>
      </w:docPartBody>
    </w:docPart>
    <w:docPart>
      <w:docPartPr>
        <w:name w:val="{009344a5-ae7a-465b-9f47-86eb0826bce8}"/>
        <w:style w:val=""/>
        <w:category>
          <w:name w:val="常规"/>
          <w:gallery w:val="placeholder"/>
        </w:category>
        <w:types>
          <w:type w:val="bbPlcHdr"/>
        </w:types>
        <w:behaviors>
          <w:behavior w:val="content"/>
        </w:behaviors>
        <w:description w:val=""/>
        <w:guid w:val="{009344a5-ae7a-465b-9f47-86eb0826bce8}"/>
      </w:docPartPr>
      <w:docPartBody>
        <w:p w14:paraId="6E7C52A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10851</Words>
  <Characters>11181</Characters>
  <Lines>0</Lines>
  <Paragraphs>0</Paragraphs>
  <TotalTime>31</TotalTime>
  <ScaleCrop>false</ScaleCrop>
  <LinksUpToDate>false</LinksUpToDate>
  <CharactersWithSpaces>11345</CharactersWithSpaces>
  <Application>WPS Office WWO_wpscloud_20250424194432-d21c6c7b9b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2022-04-20T11:57:00Z</dcterms:created>
  <dc:creator>administrator</dc:creator>
  <cp:lastModifiedBy>webword_3655228683</cp:lastModifiedBy>
  <cp:lastPrinted>2025-12-06T17:37:00Z</cp:lastPrinted>
  <dcterms:modified xsi:type="dcterms:W3CDTF">2026-01-22T17:23:15Z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4878C76EC514922483EC7169DB45064C_43</vt:lpwstr>
  </property>
  <property fmtid="{D5CDD505-2E9C-101B-9397-08002B2CF9AE}" pid="4" name="KSOTemplateDocerSaveRecord">
    <vt:lpwstr>eyJoZGlkIjoiOTc3M2Y5NzIzMDFlZjAyY2Q4Njk5ODkyYjFjNzBiNTQiLCJ1c2VySWQiOiI0MzQ4Mzc5MjIifQ==</vt:lpwstr>
  </property>
</Properties>
</file>